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35"/>
        <w:tblW w:w="10491" w:type="dxa"/>
        <w:tblBorders>
          <w:top w:val="single" w:sz="4" w:space="0" w:color="auto"/>
          <w:left w:val="single" w:sz="4" w:space="15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749"/>
        <w:gridCol w:w="1747"/>
        <w:gridCol w:w="3499"/>
      </w:tblGrid>
      <w:tr w:rsidR="00173E38" w:rsidRPr="006402ED" w:rsidTr="00173E38"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Heading1"/>
              <w:keepLines w:val="0"/>
              <w:spacing w:before="100" w:beforeAutospacing="1" w:after="100" w:afterAutospacing="1"/>
              <w:jc w:val="center"/>
              <w:rPr>
                <w:rFonts w:cs="Calibri"/>
                <w:b/>
                <w:bCs/>
                <w:color w:val="262626"/>
                <w:sz w:val="28"/>
                <w:szCs w:val="28"/>
              </w:rPr>
            </w:pPr>
            <w:r w:rsidRPr="006402ED">
              <w:rPr>
                <w:rFonts w:eastAsia="MS Gothic" w:cs="Calibri"/>
                <w:b/>
                <w:bCs/>
                <w:szCs w:val="40"/>
              </w:rPr>
              <w:t>Form D: HOPWA Program Agreement</w:t>
            </w: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16"/>
                <w:szCs w:val="16"/>
              </w:rPr>
            </w:pPr>
            <w:r w:rsidRPr="006402ED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16"/>
                <w:szCs w:val="16"/>
              </w:rPr>
              <w:t xml:space="preserve">Must be signed before program entry and before annual </w:t>
            </w:r>
            <w:proofErr w:type="spellStart"/>
            <w:r w:rsidRPr="006402ED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16"/>
                <w:szCs w:val="16"/>
              </w:rPr>
              <w:t>recertifications</w:t>
            </w:r>
            <w:proofErr w:type="spellEnd"/>
            <w:r w:rsidRPr="006402ED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16"/>
                <w:szCs w:val="16"/>
              </w:rPr>
              <w:t>.</w:t>
            </w: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16"/>
                <w:szCs w:val="16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The goals of the </w:t>
            </w:r>
            <w:r w:rsidR="00042256">
              <w:rPr>
                <w:rFonts w:ascii="Century Gothic" w:hAnsi="Century Gothic" w:cs="Calibri"/>
                <w:color w:val="262626"/>
                <w:sz w:val="20"/>
                <w:szCs w:val="20"/>
              </w:rPr>
              <w:t>LDH</w:t>
            </w: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 HOPWA Program are to help low-income persons living with HIV and their households establish or maintain affordable and stable housing, reduce their risk of homelessness, and improve their access to health care and supportive services. </w:t>
            </w:r>
            <w:r w:rsidR="00042256">
              <w:rPr>
                <w:rFonts w:ascii="Century Gothic" w:hAnsi="Century Gothic" w:cs="Calibri"/>
                <w:color w:val="262626"/>
                <w:sz w:val="20"/>
                <w:szCs w:val="20"/>
              </w:rPr>
              <w:t>LDH</w:t>
            </w: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 authorizes the following services, funded by grants from the U.S. Department of Housing and Urban Development (HUD):</w:t>
            </w:r>
          </w:p>
        </w:tc>
      </w:tr>
      <w:tr w:rsidR="006402ED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173E38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Tenant-based rental assistance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Short-term rent, mortgage, and utility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Short-term supportive housing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Transitional supportive housing 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Permanent housing placement</w:t>
            </w:r>
          </w:p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6402ED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6402ED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Eligibility</w:t>
            </w: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At least one of your household members must be living with HIV.</w:t>
            </w: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annual gross income cannot exceed 80% of area median income per your county of residence.</w:t>
            </w: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Your household must reside in the Project Sponsor’s </w:t>
            </w:r>
            <w:r w:rsid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Public Health Region</w:t>
            </w: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.</w:t>
            </w:r>
          </w:p>
        </w:tc>
      </w:tr>
      <w:tr w:rsidR="006402ED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6402ED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20"/>
                <w:szCs w:val="20"/>
              </w:rPr>
              <w:t>Additional Service Requirements</w:t>
            </w:r>
            <w:r w:rsidR="00042256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20"/>
                <w:szCs w:val="20"/>
              </w:rPr>
              <w:t>:</w:t>
            </w:r>
          </w:p>
          <w:p w:rsidR="00042256" w:rsidRPr="006402ED" w:rsidRDefault="00042256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blPrEx>
          <w:tblBorders>
            <w:left w:val="single" w:sz="4" w:space="0" w:color="auto"/>
          </w:tblBorders>
        </w:tblPrEx>
        <w:trPr>
          <w:trHeight w:val="18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>To receive tenant-based rental assistance services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must already be housed;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gross rent must be at or below the lower of the rent standard or the reasonable rent;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At least one of your household members must be named on the current lease or utility bill; and</w:t>
            </w:r>
          </w:p>
          <w:p w:rsidR="00173E38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Your current lease must include a Violence </w:t>
            </w:r>
            <w:proofErr w:type="gramStart"/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Against</w:t>
            </w:r>
            <w:proofErr w:type="gramEnd"/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 Women Act (VAWA) Lease Addendum.</w:t>
            </w:r>
          </w:p>
          <w:p w:rsidR="00042256" w:rsidRPr="006402ED" w:rsidRDefault="00042256" w:rsidP="00042256">
            <w:pPr>
              <w:pStyle w:val="ListParagraph"/>
              <w:autoSpaceDE w:val="0"/>
              <w:autoSpaceDN w:val="0"/>
              <w:adjustRightInd w:val="0"/>
              <w:spacing w:after="0" w:line="216" w:lineRule="auto"/>
              <w:ind w:left="36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>To receive short-term rent, mortgage, or utility services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must already be housed;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must provide proof of a recent short-term emergency event that jeopardizes your housing stability;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At least one of your household members must be named on the current lease, mortgage, or utility bill; and</w:t>
            </w:r>
          </w:p>
          <w:p w:rsidR="00042256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Your household can receive only 21 weeks of assistance in a 52-week period </w:t>
            </w:r>
          </w:p>
          <w:p w:rsidR="00042256" w:rsidRDefault="00042256" w:rsidP="00042256">
            <w:pPr>
              <w:pStyle w:val="ListParagraph"/>
              <w:autoSpaceDE w:val="0"/>
              <w:autoSpaceDN w:val="0"/>
              <w:adjustRightInd w:val="0"/>
              <w:spacing w:after="0" w:line="216" w:lineRule="auto"/>
              <w:ind w:left="36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>To receive short-term supportive housing services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Your household must be </w:t>
            </w:r>
            <w:hyperlink r:id="rId5" w:history="1">
              <w:r w:rsidRPr="006402ED">
                <w:rPr>
                  <w:rFonts w:ascii="Century Gothic" w:hAnsi="Century Gothic" w:cs="Calibri"/>
                  <w:color w:val="0563C1"/>
                  <w:sz w:val="20"/>
                  <w:szCs w:val="20"/>
                  <w:u w:val="single"/>
                </w:rPr>
                <w:t>homeless</w:t>
              </w:r>
            </w:hyperlink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can receive only 60 days of facility-based assistance in a six-month period (local Caps may apply).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>To receive transitional supportive housing services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 xml:space="preserve">Your household must be </w:t>
            </w:r>
            <w:hyperlink r:id="rId6" w:history="1">
              <w:r w:rsidRPr="006402ED">
                <w:rPr>
                  <w:rFonts w:ascii="Century Gothic" w:hAnsi="Century Gothic" w:cs="Calibri"/>
                  <w:color w:val="0563C1"/>
                  <w:sz w:val="20"/>
                  <w:szCs w:val="20"/>
                  <w:u w:val="single"/>
                </w:rPr>
                <w:t>homeless</w:t>
              </w:r>
            </w:hyperlink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/</w:t>
            </w:r>
            <w:hyperlink r:id="rId7" w:history="1">
              <w:r w:rsidRPr="006402ED">
                <w:rPr>
                  <w:rFonts w:ascii="Century Gothic" w:hAnsi="Century Gothic" w:cs="Calibri"/>
                  <w:color w:val="0563C1"/>
                  <w:sz w:val="20"/>
                  <w:szCs w:val="20"/>
                  <w:u w:val="single"/>
                </w:rPr>
                <w:t>at risk of homelessness</w:t>
              </w:r>
            </w:hyperlink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gross rent must be at or below the lower of the rent standard or the reasonable rent;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At least one of your household members must be named on the current lease or utility bill;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current lease must include a Violence Against Women Act (VAWA) Lease Addendum; and</w:t>
            </w:r>
          </w:p>
          <w:p w:rsidR="00173E38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can receive only 24 months of facility-based assistance (local Caps may apply).</w:t>
            </w:r>
          </w:p>
          <w:p w:rsidR="00042256" w:rsidRPr="006402ED" w:rsidRDefault="00042256" w:rsidP="00042256">
            <w:pPr>
              <w:pStyle w:val="ListParagraph"/>
              <w:autoSpaceDE w:val="0"/>
              <w:autoSpaceDN w:val="0"/>
              <w:adjustRightInd w:val="0"/>
              <w:spacing w:after="0" w:line="216" w:lineRule="auto"/>
              <w:ind w:left="36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>To receive permanent housing placement services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can be housed or homeless;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household must locate housing; and</w:t>
            </w:r>
          </w:p>
          <w:p w:rsidR="00173E38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At least one of your household members must be named on the PHP Intent to Lease Worksheet for initial move-in costs.</w:t>
            </w:r>
          </w:p>
          <w:p w:rsidR="00042256" w:rsidRPr="006402ED" w:rsidRDefault="00042256" w:rsidP="00042256">
            <w:pPr>
              <w:pStyle w:val="ListParagraph"/>
              <w:autoSpaceDE w:val="0"/>
              <w:autoSpaceDN w:val="0"/>
              <w:adjustRightInd w:val="0"/>
              <w:spacing w:after="0" w:line="216" w:lineRule="auto"/>
              <w:ind w:left="360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173E38" w:rsidRPr="00042256" w:rsidRDefault="00173E38" w:rsidP="000422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</w:pPr>
            <w:r w:rsidRPr="00042256">
              <w:rPr>
                <w:rFonts w:ascii="Century Gothic" w:hAnsi="Century Gothic" w:cs="Calibri"/>
                <w:i/>
                <w:color w:val="262626"/>
                <w:sz w:val="20"/>
                <w:szCs w:val="20"/>
              </w:rPr>
              <w:t xml:space="preserve">To receive any form of housing assistance services 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sz w:val="20"/>
                <w:szCs w:val="20"/>
              </w:rPr>
              <w:t>You must provide demographic data for your household;</w:t>
            </w:r>
            <w:r w:rsidR="00042256">
              <w:rPr>
                <w:rFonts w:ascii="Century Gothic" w:hAnsi="Century Gothic" w:cs="Calibri"/>
                <w:sz w:val="20"/>
                <w:szCs w:val="20"/>
              </w:rPr>
              <w:t xml:space="preserve"> and </w:t>
            </w:r>
          </w:p>
          <w:p w:rsidR="00173E38" w:rsidRPr="00042256" w:rsidRDefault="00173E38" w:rsidP="0004225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Your housing must meet al</w:t>
            </w:r>
            <w:r w:rsidR="00042256">
              <w:rPr>
                <w:rFonts w:ascii="Century Gothic" w:hAnsi="Century Gothic" w:cs="Calibri"/>
                <w:color w:val="262626"/>
                <w:sz w:val="20"/>
                <w:szCs w:val="20"/>
              </w:rPr>
              <w:t>l Housing Quality Standards.</w:t>
            </w:r>
          </w:p>
        </w:tc>
      </w:tr>
    </w:tbl>
    <w:p w:rsidR="006402ED" w:rsidRDefault="006402ED">
      <w:r>
        <w:br w:type="page"/>
      </w:r>
    </w:p>
    <w:tbl>
      <w:tblPr>
        <w:tblpPr w:leftFromText="180" w:rightFromText="180" w:horzAnchor="margin" w:tblpXSpec="center" w:tblpY="-103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403"/>
        <w:gridCol w:w="382"/>
        <w:gridCol w:w="3071"/>
        <w:gridCol w:w="3215"/>
        <w:gridCol w:w="864"/>
        <w:gridCol w:w="1167"/>
      </w:tblGrid>
      <w:tr w:rsidR="00173E38" w:rsidRPr="006402ED" w:rsidTr="00173E38">
        <w:trPr>
          <w:trHeight w:val="1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2" w:space="0" w:color="FFFFFF"/>
            </w:tcBorders>
            <w:shd w:val="clear" w:color="auto" w:fill="D9D9D9"/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Rights</w:t>
            </w:r>
          </w:p>
        </w:tc>
        <w:tc>
          <w:tcPr>
            <w:tcW w:w="5246" w:type="dxa"/>
            <w:gridSpan w:val="3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D9D9D9"/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Responsibilities</w:t>
            </w:r>
          </w:p>
        </w:tc>
      </w:tr>
      <w:tr w:rsidR="00173E38" w:rsidRPr="006402ED" w:rsidTr="00173E38">
        <w:trPr>
          <w:trHeight w:val="1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2" w:space="0" w:color="FFFFFF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single" w:sz="2" w:space="0" w:color="FFFFF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To receive services in a non-discriminatory manner without regard to race; color; religion; sex; national origin; disability; familial status; actual or perceived sexual orientation, gender identity, or marital status; or whether you are a survivor of domestic violence, dating violence, sexual assault, or stalking.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To have your records and communications kept confidential.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To be informed of the terms and expectations of your housing and any consequences for refusing to comply with them.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To be informed of Project Sp</w:t>
            </w:r>
            <w:bookmarkStart w:id="0" w:name="_GoBack"/>
            <w:bookmarkEnd w:id="0"/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onsor policies and procedures and any consequences for refusing to comply with them.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To use Project Sponsor grievance procedures if your rights have been violated.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Provide true and complete eligibility information and engage in honest and regular communication with your case manager.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Report changes in income, residency, or household composition to your case manager immediately.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Heed the terms of your lease and pay housing costs on time.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Maintain the safety and sanitation of your housing.</w:t>
            </w:r>
          </w:p>
          <w:p w:rsidR="00173E38" w:rsidRPr="006402ED" w:rsidRDefault="00173E38" w:rsidP="006402E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Apply for a Housing Choice Voucher and other affordable housing programs, renew applications as required, and accept assistance as offered if you receive rental assistance.</w:t>
            </w:r>
          </w:p>
          <w:p w:rsidR="00173E38" w:rsidRPr="006402ED" w:rsidRDefault="00173E38" w:rsidP="00E65F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Collaborate with your case manager to develop and comply with a housing plan to achieve permanent sustainable housing.</w:t>
            </w:r>
          </w:p>
        </w:tc>
      </w:tr>
      <w:tr w:rsidR="00E65F56" w:rsidRPr="006402ED" w:rsidTr="00173E38">
        <w:trPr>
          <w:trHeight w:val="1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F56" w:rsidRPr="00E65F56" w:rsidRDefault="00E65F56" w:rsidP="00E65F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56" w:rsidRPr="00E65F56" w:rsidRDefault="00E65F56" w:rsidP="00E65F56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b/>
                <w:bCs/>
                <w:color w:val="262626"/>
                <w:sz w:val="20"/>
                <w:szCs w:val="20"/>
              </w:rPr>
              <w:t>Participation Acknowledgement</w:t>
            </w:r>
          </w:p>
        </w:tc>
      </w:tr>
      <w:tr w:rsidR="00173E38" w:rsidRPr="006402ED" w:rsidTr="00173E38">
        <w:trPr>
          <w:trHeight w:val="18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73E38" w:rsidRDefault="00173E38" w:rsidP="002D688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I have read and understand the HOPWA Program Agreement. I understand that HOPWA is a voluntary program and that my household must meet basic eligibility requirements to be considered for enrollment. I understand that financial assistance may vary from one household to another. I understand that services are needs-based and depend on funding availability, agency capacity, and adherence to my housing plan. I understand that non-compliance with the Responsibilities listed above may result in termination of services.</w:t>
            </w:r>
          </w:p>
          <w:p w:rsidR="002D6881" w:rsidRDefault="002D6881" w:rsidP="002D688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2D6881" w:rsidRPr="006402ED" w:rsidRDefault="002D6881" w:rsidP="002D688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389" w:type="dxa"/>
            <w:tcBorders>
              <w:top w:val="single" w:sz="2" w:space="0" w:color="BFBFBF"/>
              <w:left w:val="single" w:sz="2" w:space="0" w:color="BFBFB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8"/>
                <w:szCs w:val="8"/>
              </w:rPr>
            </w:pPr>
          </w:p>
        </w:tc>
        <w:tc>
          <w:tcPr>
            <w:tcW w:w="1403" w:type="dxa"/>
            <w:tcBorders>
              <w:top w:val="single" w:sz="2" w:space="0" w:color="BFBFBF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8"/>
                <w:szCs w:val="8"/>
              </w:rPr>
            </w:pPr>
          </w:p>
        </w:tc>
        <w:tc>
          <w:tcPr>
            <w:tcW w:w="382" w:type="dxa"/>
            <w:tcBorders>
              <w:top w:val="single" w:sz="2" w:space="0" w:color="BFBFBF"/>
              <w:left w:val="nil"/>
              <w:bottom w:val="nil"/>
              <w:right w:val="single" w:sz="2" w:space="0" w:color="BFBFBF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8"/>
                <w:szCs w:val="8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single" w:sz="2" w:space="0" w:color="BFBFB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8"/>
                <w:szCs w:val="8"/>
              </w:rPr>
            </w:pPr>
          </w:p>
        </w:tc>
      </w:tr>
      <w:tr w:rsidR="00173E38" w:rsidRPr="006402ED" w:rsidTr="00173E38">
        <w:trPr>
          <w:trHeight w:val="18"/>
        </w:trPr>
        <w:tc>
          <w:tcPr>
            <w:tcW w:w="389" w:type="dxa"/>
            <w:tcBorders>
              <w:top w:val="nil"/>
              <w:left w:val="single" w:sz="2" w:space="0" w:color="BFBFB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2" w:space="0" w:color="BFBFBF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317" w:type="dxa"/>
            <w:gridSpan w:val="4"/>
            <w:tcBorders>
              <w:top w:val="nil"/>
              <w:left w:val="single" w:sz="2" w:space="0" w:color="BFBFBF"/>
              <w:bottom w:val="nil"/>
              <w:right w:val="nil"/>
            </w:tcBorders>
          </w:tcPr>
          <w:p w:rsidR="002D6881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i/>
                <w:iCs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i/>
                <w:iCs/>
                <w:color w:val="262626"/>
                <w:sz w:val="20"/>
                <w:szCs w:val="20"/>
              </w:rPr>
              <w:t xml:space="preserve">I received the agency’s termination and grievance policies </w:t>
            </w:r>
            <w:r w:rsidRPr="006402ED">
              <w:rPr>
                <w:rFonts w:ascii="Century Gothic" w:hAnsi="Century Gothic" w:cs="Calibri"/>
                <w:b/>
                <w:bCs/>
                <w:i/>
                <w:iCs/>
                <w:color w:val="262626"/>
                <w:sz w:val="20"/>
                <w:szCs w:val="20"/>
                <w:u w:val="single"/>
              </w:rPr>
              <w:t>or</w:t>
            </w:r>
            <w:r w:rsidRPr="006402ED">
              <w:rPr>
                <w:rFonts w:ascii="Century Gothic" w:hAnsi="Century Gothic" w:cs="Calibri"/>
                <w:i/>
                <w:iCs/>
                <w:color w:val="262626"/>
                <w:sz w:val="20"/>
                <w:szCs w:val="20"/>
              </w:rPr>
              <w:t xml:space="preserve"> I know the location of these policies.</w:t>
            </w:r>
          </w:p>
        </w:tc>
      </w:tr>
      <w:tr w:rsidR="00173E38" w:rsidRPr="006402ED" w:rsidTr="00173E38">
        <w:trPr>
          <w:trHeight w:val="18"/>
        </w:trPr>
        <w:tc>
          <w:tcPr>
            <w:tcW w:w="2174" w:type="dxa"/>
            <w:gridSpan w:val="3"/>
            <w:tcBorders>
              <w:top w:val="nil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</w:pPr>
            <w:r w:rsidRPr="006402ED">
              <w:rPr>
                <w:rFonts w:ascii="Century Gothic" w:hAnsi="Century Gothic" w:cs="Calibri"/>
                <w:i/>
                <w:iCs/>
                <w:color w:val="262626"/>
                <w:sz w:val="16"/>
                <w:szCs w:val="16"/>
              </w:rPr>
              <w:t>If yes, client initials</w:t>
            </w:r>
          </w:p>
        </w:tc>
        <w:tc>
          <w:tcPr>
            <w:tcW w:w="8317" w:type="dxa"/>
            <w:gridSpan w:val="4"/>
            <w:tcBorders>
              <w:top w:val="nil"/>
              <w:left w:val="single" w:sz="2" w:space="0" w:color="BFBFBF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6"/>
                <w:szCs w:val="16"/>
              </w:rPr>
            </w:pPr>
          </w:p>
        </w:tc>
      </w:tr>
      <w:tr w:rsidR="00173E38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single" w:sz="2" w:space="0" w:color="BFBFBF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042256">
        <w:trPr>
          <w:trHeight w:val="207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6881" w:rsidRDefault="002D6881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Client Name: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042256" w:rsidRPr="006402ED" w:rsidTr="00042256">
        <w:trPr>
          <w:trHeight w:val="207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042256" w:rsidRPr="006402ED" w:rsidTr="00042256">
        <w:trPr>
          <w:trHeight w:val="207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256" w:rsidRPr="006402ED" w:rsidRDefault="00042256" w:rsidP="0004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042256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Client Signature: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Date: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</w:tr>
      <w:tr w:rsidR="00173E38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6286" w:type="dxa"/>
            <w:gridSpan w:val="2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sz="2" w:space="0" w:color="262626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6402ED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6402ED" w:rsidRPr="006402ED" w:rsidRDefault="006402ED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Case Manager Name: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042256" w:rsidRPr="006402ED" w:rsidTr="00042256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042256" w:rsidRPr="006402ED" w:rsidTr="00042256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256" w:rsidRPr="006402ED" w:rsidRDefault="00042256" w:rsidP="0004225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042256" w:rsidRPr="006402ED" w:rsidRDefault="00042256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</w:p>
        </w:tc>
      </w:tr>
      <w:tr w:rsidR="00173E38" w:rsidRPr="006402ED" w:rsidTr="00042256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10"/>
                <w:szCs w:val="10"/>
              </w:rPr>
            </w:pPr>
          </w:p>
        </w:tc>
      </w:tr>
      <w:tr w:rsidR="00173E38" w:rsidRPr="006402ED" w:rsidTr="006402ED">
        <w:trPr>
          <w:trHeight w:val="18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Case Manager Signature:</w:t>
            </w:r>
          </w:p>
        </w:tc>
        <w:tc>
          <w:tcPr>
            <w:tcW w:w="6286" w:type="dxa"/>
            <w:gridSpan w:val="2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73E38" w:rsidRPr="006402ED" w:rsidRDefault="00173E38" w:rsidP="00173E38">
            <w:pPr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Date: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2" w:space="0" w:color="262626"/>
              <w:right w:val="nil"/>
            </w:tcBorders>
            <w:vAlign w:val="bottom"/>
          </w:tcPr>
          <w:p w:rsidR="00173E38" w:rsidRPr="006402ED" w:rsidRDefault="00173E38" w:rsidP="00173E38">
            <w:pPr>
              <w:pBdr>
                <w:left w:val="single" w:sz="2" w:space="15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262626"/>
                <w:sz w:val="20"/>
                <w:szCs w:val="20"/>
              </w:rPr>
            </w:pPr>
            <w:r w:rsidRPr="006402ED">
              <w:rPr>
                <w:rFonts w:ascii="Century Gothic" w:hAnsi="Century Gothic" w:cs="Calibri"/>
                <w:color w:val="262626"/>
                <w:sz w:val="20"/>
                <w:szCs w:val="20"/>
              </w:rPr>
              <w:t>     </w:t>
            </w:r>
          </w:p>
        </w:tc>
      </w:tr>
    </w:tbl>
    <w:p w:rsidR="00173E38" w:rsidRPr="006402ED" w:rsidRDefault="00173E38" w:rsidP="00173E38">
      <w:pPr>
        <w:autoSpaceDE w:val="0"/>
        <w:autoSpaceDN w:val="0"/>
        <w:adjustRightInd w:val="0"/>
        <w:spacing w:after="0" w:line="216" w:lineRule="auto"/>
        <w:rPr>
          <w:rFonts w:ascii="Century Gothic" w:hAnsi="Century Gothic" w:cs="Calibri"/>
          <w:color w:val="262626"/>
          <w:sz w:val="2"/>
          <w:szCs w:val="2"/>
        </w:rPr>
      </w:pPr>
    </w:p>
    <w:p w:rsidR="0067109D" w:rsidRPr="006402ED" w:rsidRDefault="00E65F56">
      <w:pPr>
        <w:rPr>
          <w:rFonts w:ascii="Century Gothic" w:hAnsi="Century Gothic"/>
        </w:rPr>
      </w:pPr>
    </w:p>
    <w:sectPr w:rsidR="0067109D" w:rsidRPr="006402ED" w:rsidSect="003B66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6899"/>
    <w:multiLevelType w:val="hybridMultilevel"/>
    <w:tmpl w:val="CE96F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E3326"/>
    <w:multiLevelType w:val="hybridMultilevel"/>
    <w:tmpl w:val="93EE7B2A"/>
    <w:lvl w:ilvl="0" w:tplc="04090001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251C6"/>
    <w:multiLevelType w:val="hybridMultilevel"/>
    <w:tmpl w:val="BF98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0701"/>
    <w:multiLevelType w:val="hybridMultilevel"/>
    <w:tmpl w:val="BDC0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0F53"/>
    <w:multiLevelType w:val="hybridMultilevel"/>
    <w:tmpl w:val="A02E7D1A"/>
    <w:lvl w:ilvl="0" w:tplc="04090001">
      <w:start w:val="1"/>
      <w:numFmt w:val="bullet"/>
      <w:lvlText w:val=""/>
      <w:lvlJc w:val="left"/>
      <w:pPr>
        <w:ind w:left="366" w:hanging="3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AF7FC1"/>
    <w:multiLevelType w:val="hybridMultilevel"/>
    <w:tmpl w:val="D4C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70C8"/>
    <w:multiLevelType w:val="hybridMultilevel"/>
    <w:tmpl w:val="D5E8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672A9"/>
    <w:multiLevelType w:val="hybridMultilevel"/>
    <w:tmpl w:val="5CF4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38"/>
    <w:rsid w:val="00042256"/>
    <w:rsid w:val="00173E38"/>
    <w:rsid w:val="002D6881"/>
    <w:rsid w:val="004D3239"/>
    <w:rsid w:val="006402ED"/>
    <w:rsid w:val="00DC3485"/>
    <w:rsid w:val="00E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03F0-D0AC-4CB9-8BCE-1D4F6949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ervices Heading 1"/>
    <w:basedOn w:val="Normal"/>
    <w:next w:val="Normal"/>
    <w:link w:val="Heading1Char"/>
    <w:qFormat/>
    <w:rsid w:val="006402ED"/>
    <w:pPr>
      <w:keepNext/>
      <w:keepLines/>
      <w:shd w:val="clear" w:color="auto" w:fill="2E74B5" w:themeFill="accent1" w:themeFillShade="BF"/>
      <w:spacing w:before="240" w:after="0" w:line="240" w:lineRule="auto"/>
      <w:outlineLvl w:val="0"/>
    </w:pPr>
    <w:rPr>
      <w:rFonts w:ascii="Century Gothic" w:eastAsiaTheme="majorEastAsia" w:hAnsi="Century Gothic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6402ED"/>
    <w:rPr>
      <w:rFonts w:ascii="Century Gothic" w:eastAsiaTheme="majorEastAsia" w:hAnsi="Century Gothic" w:cstheme="majorBidi"/>
      <w:color w:val="FFFFFF" w:themeColor="background1"/>
      <w:sz w:val="40"/>
      <w:szCs w:val="32"/>
      <w:shd w:val="clear" w:color="auto" w:fill="2E74B5" w:themeFill="accent1" w:themeFillShade="BF"/>
    </w:rPr>
  </w:style>
  <w:style w:type="paragraph" w:styleId="ListParagraph">
    <w:name w:val="List Paragraph"/>
    <w:basedOn w:val="Normal"/>
    <w:uiPriority w:val="34"/>
    <w:qFormat/>
    <w:rsid w:val="0064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dexchange.info/resource/1975/criteria-for-definition-of-at-risk-of-homeless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dexchange.info/resource/1974/criteria-and-recordkeeping-requirements-for-definition-of-homeless/" TargetMode="External"/><Relationship Id="rId5" Type="http://schemas.openxmlformats.org/officeDocument/2006/relationships/hyperlink" Target="https://www.hudexchange.info/resource/1974/criteria-and-recordkeeping-requirements-for-definition-of-homele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5</cp:revision>
  <dcterms:created xsi:type="dcterms:W3CDTF">2018-10-11T16:34:00Z</dcterms:created>
  <dcterms:modified xsi:type="dcterms:W3CDTF">2018-10-18T17:11:00Z</dcterms:modified>
</cp:coreProperties>
</file>