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B6" w:rsidRPr="001767B6" w:rsidRDefault="001767B6" w:rsidP="001767B6">
      <w:pPr>
        <w:pStyle w:val="Heading2"/>
        <w:keepLines w:val="0"/>
        <w:shd w:val="clear" w:color="auto" w:fill="9CC2E5" w:themeFill="accent1" w:themeFillTint="99"/>
        <w:spacing w:before="0" w:line="240" w:lineRule="auto"/>
        <w:jc w:val="center"/>
        <w:rPr>
          <w:rFonts w:ascii="Century Gothic" w:eastAsia="Times New Roman" w:hAnsi="Century Gothic" w:cs="Arial"/>
          <w:bCs/>
          <w:i/>
          <w:color w:val="auto"/>
          <w:sz w:val="32"/>
          <w:szCs w:val="28"/>
        </w:rPr>
      </w:pPr>
      <w:r w:rsidRPr="001767B6">
        <w:rPr>
          <w:rFonts w:ascii="Century Gothic" w:eastAsia="Times New Roman" w:hAnsi="Century Gothic" w:cs="Arial"/>
          <w:bCs/>
          <w:i/>
          <w:color w:val="auto"/>
          <w:sz w:val="32"/>
          <w:szCs w:val="28"/>
        </w:rPr>
        <w:t xml:space="preserve">Encounter Topics and Service Entry Guidance </w:t>
      </w:r>
    </w:p>
    <w:p w:rsidR="00132146" w:rsidRPr="005A412A" w:rsidRDefault="00132146" w:rsidP="00132146">
      <w:pPr>
        <w:pStyle w:val="Heading1"/>
        <w:rPr>
          <w:rFonts w:ascii="Century Gothic" w:hAnsi="Century Gothic"/>
        </w:rPr>
      </w:pPr>
      <w:r w:rsidRPr="005A412A">
        <w:rPr>
          <w:rFonts w:ascii="Century Gothic" w:hAnsi="Century Gothic"/>
        </w:rPr>
        <w:t xml:space="preserve">Non-Medical Case Management </w:t>
      </w:r>
    </w:p>
    <w:p w:rsidR="00524C64" w:rsidRPr="00524C64" w:rsidRDefault="00524C64" w:rsidP="00524C64">
      <w:pPr>
        <w:pStyle w:val="Heading2"/>
        <w:rPr>
          <w:rFonts w:ascii="Century Gothic" w:hAnsi="Century Gothic"/>
        </w:rPr>
      </w:pPr>
      <w:r w:rsidRPr="00524C64">
        <w:rPr>
          <w:rFonts w:ascii="Century Gothic" w:hAnsi="Century Gothic"/>
        </w:rPr>
        <w:t>Encounter Topics</w:t>
      </w:r>
    </w:p>
    <w:p w:rsidR="00524C64" w:rsidRPr="00524C64" w:rsidRDefault="00524C64" w:rsidP="00524C64">
      <w:pPr>
        <w:rPr>
          <w:rFonts w:ascii="Century Gothic" w:hAnsi="Century Gothic"/>
          <w:sz w:val="24"/>
          <w:szCs w:val="24"/>
        </w:rPr>
      </w:pPr>
      <w:r w:rsidRPr="00524C64">
        <w:rPr>
          <w:rFonts w:ascii="Century Gothic" w:hAnsi="Century Gothic"/>
          <w:sz w:val="24"/>
          <w:szCs w:val="24"/>
        </w:rPr>
        <w:t xml:space="preserve">More than one encounter topic may be used per service. </w:t>
      </w:r>
    </w:p>
    <w:p w:rsidR="00524C64" w:rsidRPr="00524C64" w:rsidRDefault="00524C64" w:rsidP="00524C6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24C64">
        <w:rPr>
          <w:rFonts w:ascii="Century Gothic" w:hAnsi="Century Gothic"/>
          <w:sz w:val="24"/>
          <w:szCs w:val="24"/>
        </w:rPr>
        <w:t>Intake</w:t>
      </w:r>
    </w:p>
    <w:p w:rsidR="00524C64" w:rsidRPr="00524C64" w:rsidRDefault="00524C64" w:rsidP="00524C64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524C64">
        <w:rPr>
          <w:rFonts w:ascii="Century Gothic" w:hAnsi="Century Gothic"/>
          <w:sz w:val="24"/>
          <w:szCs w:val="24"/>
        </w:rPr>
        <w:t xml:space="preserve">Inclusive of eligibility determination. May be done by </w:t>
      </w:r>
      <w:r>
        <w:rPr>
          <w:rFonts w:ascii="Century Gothic" w:hAnsi="Century Gothic"/>
          <w:sz w:val="24"/>
          <w:szCs w:val="24"/>
        </w:rPr>
        <w:t>a case manager and billed under the Non-Medical Case Management service</w:t>
      </w:r>
      <w:r w:rsidRPr="00524C64">
        <w:rPr>
          <w:rFonts w:ascii="Century Gothic" w:hAnsi="Century Gothic"/>
          <w:sz w:val="24"/>
          <w:szCs w:val="24"/>
        </w:rPr>
        <w:t xml:space="preserve">, or may be done by a </w:t>
      </w:r>
      <w:r>
        <w:rPr>
          <w:rFonts w:ascii="Century Gothic" w:hAnsi="Century Gothic"/>
          <w:sz w:val="24"/>
          <w:szCs w:val="24"/>
        </w:rPr>
        <w:t>b</w:t>
      </w:r>
      <w:r w:rsidRPr="00524C64">
        <w:rPr>
          <w:rFonts w:ascii="Century Gothic" w:hAnsi="Century Gothic"/>
          <w:sz w:val="24"/>
          <w:szCs w:val="24"/>
        </w:rPr>
        <w:t xml:space="preserve">enefits specialist and billed under Health Education. This is the only time that proof of status is required. </w:t>
      </w:r>
    </w:p>
    <w:p w:rsidR="00524C64" w:rsidRPr="00524C64" w:rsidRDefault="00524C64" w:rsidP="00524C6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24C64" w:rsidRPr="00524C64" w:rsidRDefault="00524C64" w:rsidP="00524C6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24C64">
        <w:rPr>
          <w:rFonts w:ascii="Century Gothic" w:hAnsi="Century Gothic"/>
          <w:sz w:val="24"/>
          <w:szCs w:val="24"/>
        </w:rPr>
        <w:t>Initial Assessment</w:t>
      </w:r>
    </w:p>
    <w:p w:rsidR="00524C64" w:rsidRPr="00524C64" w:rsidRDefault="00524C64" w:rsidP="00524C64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524C64">
        <w:rPr>
          <w:rFonts w:ascii="Century Gothic" w:hAnsi="Century Gothic"/>
          <w:sz w:val="24"/>
          <w:szCs w:val="24"/>
        </w:rPr>
        <w:t xml:space="preserve">SHP required assessment paperwork, acuity scale and care plan. </w:t>
      </w:r>
      <w:r>
        <w:rPr>
          <w:rFonts w:ascii="Century Gothic" w:hAnsi="Century Gothic"/>
          <w:sz w:val="24"/>
          <w:szCs w:val="24"/>
        </w:rPr>
        <w:t xml:space="preserve">This encounter topic should be used for the first assessment only. </w:t>
      </w:r>
    </w:p>
    <w:p w:rsidR="00524C64" w:rsidRPr="00524C64" w:rsidRDefault="00524C64" w:rsidP="00524C6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24C64" w:rsidRPr="00524C64" w:rsidRDefault="00524C64" w:rsidP="00524C6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24C64">
        <w:rPr>
          <w:rFonts w:ascii="Century Gothic" w:hAnsi="Century Gothic"/>
          <w:sz w:val="24"/>
          <w:szCs w:val="24"/>
        </w:rPr>
        <w:t>Follow-Up</w:t>
      </w:r>
    </w:p>
    <w:p w:rsidR="00524C64" w:rsidRDefault="00BB59AE" w:rsidP="00524C64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Client contact not for assessment or eligibility reasons. This encounter should address the goals set forth in the care plan, and any emerging needs that the client may have. </w:t>
      </w:r>
    </w:p>
    <w:p w:rsidR="00D33D52" w:rsidRPr="00524C64" w:rsidRDefault="00D33D52" w:rsidP="00D33D5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D33D52" w:rsidRPr="00524C64" w:rsidRDefault="00D33D52" w:rsidP="00D33D52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24C64">
        <w:rPr>
          <w:rFonts w:ascii="Century Gothic" w:hAnsi="Century Gothic"/>
          <w:sz w:val="24"/>
          <w:szCs w:val="24"/>
        </w:rPr>
        <w:t>6 Month Reassessment</w:t>
      </w:r>
    </w:p>
    <w:p w:rsidR="00D33D52" w:rsidRPr="00524C64" w:rsidRDefault="00D33D52" w:rsidP="00D33D5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524C64">
        <w:rPr>
          <w:rFonts w:ascii="Century Gothic" w:hAnsi="Century Gothic"/>
          <w:sz w:val="24"/>
          <w:szCs w:val="24"/>
        </w:rPr>
        <w:t xml:space="preserve">Inclusive of eligibility recertification. SHP required reassessment paperwork, acuity scale and care plan. Self-attestation may be used at this reassessment if no changes have occurred to client’s income, residency or insurance status. </w:t>
      </w:r>
      <w:r>
        <w:rPr>
          <w:rFonts w:ascii="Century Gothic" w:hAnsi="Century Gothic"/>
          <w:sz w:val="24"/>
          <w:szCs w:val="24"/>
        </w:rPr>
        <w:t xml:space="preserve">The six month reassessment may be conducted over the phone for individuals with an acuity score under 37. </w:t>
      </w:r>
    </w:p>
    <w:p w:rsidR="00625BFE" w:rsidRPr="00625BFE" w:rsidRDefault="00625BFE" w:rsidP="00625BFE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24C64" w:rsidRPr="00524C64" w:rsidRDefault="00524C64" w:rsidP="00524C6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24C64">
        <w:rPr>
          <w:rFonts w:ascii="Century Gothic" w:hAnsi="Century Gothic"/>
          <w:sz w:val="24"/>
          <w:szCs w:val="24"/>
        </w:rPr>
        <w:t>Annual Reassessment</w:t>
      </w:r>
    </w:p>
    <w:p w:rsidR="00524C64" w:rsidRPr="00524C64" w:rsidRDefault="00D33D52" w:rsidP="00524C64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Completed yearly, i</w:t>
      </w:r>
      <w:r w:rsidR="00524C64" w:rsidRPr="00524C64">
        <w:rPr>
          <w:rFonts w:ascii="Century Gothic" w:hAnsi="Century Gothic"/>
          <w:sz w:val="24"/>
          <w:szCs w:val="24"/>
        </w:rPr>
        <w:t xml:space="preserve">nclusive of eligibility recertification. SHP required reassessment paperwork, acuity scale and care plan. </w:t>
      </w:r>
      <w:r>
        <w:rPr>
          <w:rFonts w:ascii="Century Gothic" w:hAnsi="Century Gothic"/>
          <w:sz w:val="24"/>
          <w:szCs w:val="24"/>
        </w:rPr>
        <w:t>Additionally, t</w:t>
      </w:r>
      <w:r w:rsidR="00524C64">
        <w:rPr>
          <w:rFonts w:ascii="Century Gothic" w:hAnsi="Century Gothic"/>
          <w:sz w:val="24"/>
          <w:szCs w:val="24"/>
        </w:rPr>
        <w:t xml:space="preserve">his topic should be used if a client falls out of care, and returns at a later date. </w:t>
      </w:r>
    </w:p>
    <w:p w:rsidR="00524C64" w:rsidRPr="00524C64" w:rsidRDefault="00524C64" w:rsidP="00524C6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24C64" w:rsidRPr="00524C64" w:rsidRDefault="00524C64" w:rsidP="00524C6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24C64">
        <w:rPr>
          <w:rFonts w:ascii="Century Gothic" w:hAnsi="Century Gothic"/>
          <w:sz w:val="24"/>
          <w:szCs w:val="24"/>
        </w:rPr>
        <w:t>Home Visit</w:t>
      </w:r>
    </w:p>
    <w:p w:rsidR="00524C64" w:rsidRPr="00524C64" w:rsidRDefault="00524C64" w:rsidP="00524C64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524C64">
        <w:rPr>
          <w:rFonts w:ascii="Century Gothic" w:hAnsi="Century Gothic"/>
          <w:sz w:val="24"/>
          <w:szCs w:val="24"/>
        </w:rPr>
        <w:t xml:space="preserve">Only required for clients with an acuity score above 37. May be conducted for clients with an acuity score below 37 as needed. </w:t>
      </w:r>
    </w:p>
    <w:p w:rsidR="00524C64" w:rsidRPr="00524C64" w:rsidRDefault="00524C64" w:rsidP="00524C6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24C64" w:rsidRPr="00524C64" w:rsidRDefault="00524C64" w:rsidP="00524C6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24C64">
        <w:rPr>
          <w:rFonts w:ascii="Century Gothic" w:hAnsi="Century Gothic"/>
          <w:sz w:val="24"/>
          <w:szCs w:val="24"/>
        </w:rPr>
        <w:t xml:space="preserve">Housing </w:t>
      </w:r>
    </w:p>
    <w:p w:rsidR="00524C64" w:rsidRDefault="00524C64" w:rsidP="00524C64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Assistance with locating housing, applying for housing, or other housing related activities. </w:t>
      </w:r>
    </w:p>
    <w:p w:rsidR="00524C64" w:rsidRPr="00524C64" w:rsidRDefault="00524C64" w:rsidP="00524C64">
      <w:pPr>
        <w:pStyle w:val="ListParagraph"/>
        <w:spacing w:after="0" w:line="240" w:lineRule="auto"/>
        <w:rPr>
          <w:rFonts w:ascii="Century Gothic" w:hAnsi="Century Gothic"/>
          <w:sz w:val="24"/>
          <w:szCs w:val="24"/>
        </w:rPr>
      </w:pPr>
    </w:p>
    <w:p w:rsidR="00524C64" w:rsidRPr="00524C64" w:rsidRDefault="00524C64" w:rsidP="00524C6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24C64">
        <w:rPr>
          <w:rFonts w:ascii="Century Gothic" w:hAnsi="Century Gothic"/>
          <w:sz w:val="24"/>
          <w:szCs w:val="24"/>
        </w:rPr>
        <w:t>Insurance</w:t>
      </w:r>
    </w:p>
    <w:p w:rsidR="00524C64" w:rsidRPr="00524C64" w:rsidRDefault="00524C64" w:rsidP="00524C64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524C64">
        <w:rPr>
          <w:rFonts w:ascii="Century Gothic" w:hAnsi="Century Gothic"/>
          <w:sz w:val="24"/>
          <w:szCs w:val="24"/>
        </w:rPr>
        <w:lastRenderedPageBreak/>
        <w:t xml:space="preserve">Assistance with LAHAP, HIP, Health Insurance Marketplace/ACA, Medicaid or Medicare. </w:t>
      </w:r>
    </w:p>
    <w:p w:rsidR="00524C64" w:rsidRPr="00524C64" w:rsidRDefault="00524C64" w:rsidP="00524C64">
      <w:pPr>
        <w:pStyle w:val="ListParagraph"/>
        <w:spacing w:after="0" w:line="240" w:lineRule="auto"/>
        <w:rPr>
          <w:rFonts w:ascii="Century Gothic" w:hAnsi="Century Gothic"/>
          <w:sz w:val="24"/>
          <w:szCs w:val="24"/>
        </w:rPr>
      </w:pPr>
    </w:p>
    <w:p w:rsidR="00524C64" w:rsidRPr="00524C64" w:rsidRDefault="00524C64" w:rsidP="00524C6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24C64">
        <w:rPr>
          <w:rFonts w:ascii="Century Gothic" w:hAnsi="Century Gothic"/>
          <w:sz w:val="24"/>
          <w:szCs w:val="24"/>
        </w:rPr>
        <w:t xml:space="preserve">Case Conferencing </w:t>
      </w:r>
    </w:p>
    <w:p w:rsidR="00524C64" w:rsidRPr="00524C64" w:rsidRDefault="00524C64" w:rsidP="00524C64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Formal case conference to discuss updates and next steps for clients. This encounter topic may </w:t>
      </w:r>
      <w:r w:rsidRPr="00524C64">
        <w:rPr>
          <w:rFonts w:ascii="Century Gothic" w:hAnsi="Century Gothic"/>
          <w:b/>
          <w:sz w:val="24"/>
          <w:szCs w:val="24"/>
        </w:rPr>
        <w:t>only</w:t>
      </w:r>
      <w:r>
        <w:rPr>
          <w:rFonts w:ascii="Century Gothic" w:hAnsi="Century Gothic"/>
          <w:sz w:val="24"/>
          <w:szCs w:val="24"/>
        </w:rPr>
        <w:t xml:space="preserve"> be used by Case Management Supervisors. </w:t>
      </w:r>
    </w:p>
    <w:p w:rsidR="00524C64" w:rsidRPr="00524C64" w:rsidRDefault="00524C64" w:rsidP="00524C6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24C64" w:rsidRPr="00524C64" w:rsidRDefault="00524C64" w:rsidP="00524C6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24C64">
        <w:rPr>
          <w:rFonts w:ascii="Century Gothic" w:hAnsi="Century Gothic"/>
          <w:sz w:val="24"/>
          <w:szCs w:val="24"/>
        </w:rPr>
        <w:t>Case Closure</w:t>
      </w:r>
    </w:p>
    <w:p w:rsidR="00524C64" w:rsidRDefault="00524C64" w:rsidP="00524C64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Closure of a case, or transfer to another agency. </w:t>
      </w:r>
      <w:r w:rsidRPr="00524C64">
        <w:rPr>
          <w:rFonts w:ascii="Century Gothic" w:hAnsi="Century Gothic"/>
          <w:sz w:val="24"/>
          <w:szCs w:val="24"/>
        </w:rPr>
        <w:t>Reasons for case closure</w:t>
      </w:r>
      <w:r>
        <w:rPr>
          <w:rFonts w:ascii="Century Gothic" w:hAnsi="Century Gothic"/>
          <w:sz w:val="24"/>
          <w:szCs w:val="24"/>
        </w:rPr>
        <w:t xml:space="preserve"> </w:t>
      </w:r>
      <w:r w:rsidR="00D33D52">
        <w:rPr>
          <w:rFonts w:ascii="Century Gothic" w:hAnsi="Century Gothic"/>
          <w:sz w:val="24"/>
          <w:szCs w:val="24"/>
        </w:rPr>
        <w:t xml:space="preserve">should be included in the case notes </w:t>
      </w:r>
      <w:r>
        <w:rPr>
          <w:rFonts w:ascii="Century Gothic" w:hAnsi="Century Gothic"/>
          <w:sz w:val="24"/>
          <w:szCs w:val="24"/>
        </w:rPr>
        <w:t>include</w:t>
      </w:r>
      <w:r w:rsidRPr="00524C64">
        <w:rPr>
          <w:rFonts w:ascii="Century Gothic" w:hAnsi="Century Gothic"/>
          <w:sz w:val="24"/>
          <w:szCs w:val="24"/>
        </w:rPr>
        <w:t>:</w:t>
      </w:r>
    </w:p>
    <w:p w:rsidR="00524C64" w:rsidRDefault="00524C64" w:rsidP="00524C64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524C64">
        <w:rPr>
          <w:rFonts w:ascii="Century Gothic" w:hAnsi="Century Gothic"/>
          <w:sz w:val="24"/>
          <w:szCs w:val="24"/>
        </w:rPr>
        <w:t>Client has achieved goals in care plan and is moved into self-management</w:t>
      </w:r>
    </w:p>
    <w:p w:rsidR="00524C64" w:rsidRDefault="00524C64" w:rsidP="00524C64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524C64">
        <w:rPr>
          <w:rFonts w:ascii="Century Gothic" w:hAnsi="Century Gothic"/>
          <w:sz w:val="24"/>
          <w:szCs w:val="24"/>
        </w:rPr>
        <w:t>Client is no longer eligible for Ryan White Part B services</w:t>
      </w:r>
      <w:r>
        <w:rPr>
          <w:rFonts w:ascii="Century Gothic" w:hAnsi="Century Gothic"/>
          <w:sz w:val="24"/>
          <w:szCs w:val="24"/>
        </w:rPr>
        <w:t xml:space="preserve"> or has moved to another service area</w:t>
      </w:r>
    </w:p>
    <w:p w:rsidR="00524C64" w:rsidRDefault="00524C64" w:rsidP="00524C64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524C64">
        <w:rPr>
          <w:rFonts w:ascii="Century Gothic" w:hAnsi="Century Gothic"/>
          <w:sz w:val="24"/>
          <w:szCs w:val="24"/>
        </w:rPr>
        <w:t>Client has requested for services to be closed</w:t>
      </w:r>
    </w:p>
    <w:p w:rsidR="00524C64" w:rsidRDefault="00524C64" w:rsidP="00524C64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524C64">
        <w:rPr>
          <w:rFonts w:ascii="Century Gothic" w:hAnsi="Century Gothic"/>
          <w:sz w:val="24"/>
          <w:szCs w:val="24"/>
        </w:rPr>
        <w:t>Client has acted in a way that puts provider personnel in danger</w:t>
      </w:r>
    </w:p>
    <w:p w:rsidR="00524C64" w:rsidRDefault="00524C64" w:rsidP="00524C64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524C64">
        <w:rPr>
          <w:rFonts w:ascii="Century Gothic" w:hAnsi="Century Gothic"/>
          <w:sz w:val="24"/>
          <w:szCs w:val="24"/>
        </w:rPr>
        <w:t>Client cannot be contacted after repeated attempts over a 12-month period including the 6-month reassessment requirement</w:t>
      </w:r>
    </w:p>
    <w:p w:rsidR="00524C64" w:rsidRPr="00A45095" w:rsidRDefault="00524C64" w:rsidP="00A45095">
      <w:pPr>
        <w:pStyle w:val="ListParagraph"/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524C64">
        <w:rPr>
          <w:rFonts w:ascii="Century Gothic" w:hAnsi="Century Gothic"/>
          <w:sz w:val="24"/>
          <w:szCs w:val="24"/>
        </w:rPr>
        <w:t>Client dies</w:t>
      </w:r>
    </w:p>
    <w:p w:rsidR="00625BFE" w:rsidRDefault="00524C64" w:rsidP="00524C6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24C64">
        <w:rPr>
          <w:rFonts w:ascii="Century Gothic" w:hAnsi="Century Gothic"/>
          <w:sz w:val="24"/>
          <w:szCs w:val="24"/>
        </w:rPr>
        <w:t>Transportation Coordination</w:t>
      </w:r>
    </w:p>
    <w:p w:rsidR="00524C64" w:rsidRDefault="00625BFE" w:rsidP="00625BFE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Assisting a client with transportation needs</w:t>
      </w:r>
      <w:r w:rsidR="00BB59AE">
        <w:rPr>
          <w:rFonts w:ascii="Century Gothic" w:hAnsi="Century Gothic"/>
          <w:sz w:val="24"/>
          <w:szCs w:val="24"/>
        </w:rPr>
        <w:t xml:space="preserve"> to medical or social service appointments</w:t>
      </w:r>
      <w:r>
        <w:rPr>
          <w:rFonts w:ascii="Century Gothic" w:hAnsi="Century Gothic"/>
          <w:sz w:val="24"/>
          <w:szCs w:val="24"/>
        </w:rPr>
        <w:t xml:space="preserve">. </w:t>
      </w:r>
    </w:p>
    <w:p w:rsidR="00A45095" w:rsidRDefault="00A45095" w:rsidP="00A4509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45095" w:rsidRPr="00A45095" w:rsidRDefault="00A45095" w:rsidP="00A45095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Advocacy</w:t>
      </w:r>
    </w:p>
    <w:p w:rsidR="00524C64" w:rsidRPr="00C71599" w:rsidRDefault="00A45095" w:rsidP="00C71599">
      <w:pPr>
        <w:pStyle w:val="ListParagraph"/>
        <w:numPr>
          <w:ilvl w:val="0"/>
          <w:numId w:val="15"/>
        </w:numPr>
        <w:rPr>
          <w:rFonts w:ascii="Century Gothic" w:hAnsi="Century Gothic"/>
          <w:sz w:val="24"/>
          <w:szCs w:val="24"/>
        </w:rPr>
      </w:pPr>
      <w:r w:rsidRPr="00A45095">
        <w:rPr>
          <w:rFonts w:ascii="Century Gothic" w:hAnsi="Century Gothic"/>
          <w:sz w:val="24"/>
          <w:szCs w:val="24"/>
        </w:rPr>
        <w:t xml:space="preserve">Collaboration with or </w:t>
      </w:r>
      <w:r w:rsidRPr="00D52D82">
        <w:rPr>
          <w:rFonts w:ascii="Century Gothic" w:hAnsi="Century Gothic"/>
          <w:sz w:val="24"/>
          <w:szCs w:val="24"/>
        </w:rPr>
        <w:t xml:space="preserve">advocacy to a professional services </w:t>
      </w:r>
      <w:r w:rsidR="008E0E44" w:rsidRPr="00D52D82">
        <w:rPr>
          <w:rFonts w:ascii="Century Gothic" w:hAnsi="Century Gothic"/>
          <w:sz w:val="24"/>
          <w:szCs w:val="24"/>
        </w:rPr>
        <w:t xml:space="preserve">organization </w:t>
      </w:r>
      <w:r w:rsidRPr="00D52D82">
        <w:rPr>
          <w:rFonts w:ascii="Century Gothic" w:hAnsi="Century Gothic"/>
          <w:sz w:val="24"/>
          <w:szCs w:val="24"/>
        </w:rPr>
        <w:t xml:space="preserve">on behalf of the client (clinic staff, government office or other). </w:t>
      </w:r>
    </w:p>
    <w:p w:rsidR="00524C64" w:rsidRDefault="00524C64" w:rsidP="00524C6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24C64">
        <w:rPr>
          <w:rFonts w:ascii="Century Gothic" w:hAnsi="Century Gothic"/>
          <w:sz w:val="24"/>
          <w:szCs w:val="24"/>
        </w:rPr>
        <w:t xml:space="preserve">Other </w:t>
      </w:r>
    </w:p>
    <w:p w:rsidR="00524C64" w:rsidRPr="00A45095" w:rsidRDefault="00524C64" w:rsidP="00A45095">
      <w:pPr>
        <w:pStyle w:val="ListParagraph"/>
        <w:numPr>
          <w:ilvl w:val="0"/>
          <w:numId w:val="15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A45095">
        <w:rPr>
          <w:rFonts w:ascii="Century Gothic" w:hAnsi="Century Gothic"/>
          <w:sz w:val="24"/>
          <w:szCs w:val="24"/>
        </w:rPr>
        <w:t xml:space="preserve">Other topics not represented above. </w:t>
      </w:r>
    </w:p>
    <w:p w:rsidR="00524C64" w:rsidRPr="005A412A" w:rsidRDefault="00524C64" w:rsidP="00524C64">
      <w:pPr>
        <w:spacing w:after="0" w:line="240" w:lineRule="auto"/>
        <w:rPr>
          <w:rFonts w:ascii="Century Gothic" w:hAnsi="Century Gothic"/>
        </w:rPr>
      </w:pPr>
      <w:r w:rsidRPr="005A412A">
        <w:rPr>
          <w:rFonts w:ascii="Century Gothic" w:hAnsi="Century Gothic"/>
        </w:rPr>
        <w:tab/>
      </w:r>
    </w:p>
    <w:p w:rsidR="0067109D" w:rsidRPr="005A412A" w:rsidRDefault="00D33D52" w:rsidP="00132146">
      <w:pPr>
        <w:pStyle w:val="Heading2"/>
        <w:rPr>
          <w:rFonts w:ascii="Century Gothic" w:hAnsi="Century Gothic"/>
        </w:rPr>
      </w:pPr>
      <w:r>
        <w:rPr>
          <w:rFonts w:ascii="Century Gothic" w:hAnsi="Century Gothic"/>
        </w:rPr>
        <w:t>NMCM social</w:t>
      </w:r>
      <w:r w:rsidR="00132146" w:rsidRPr="005A412A">
        <w:rPr>
          <w:rFonts w:ascii="Century Gothic" w:hAnsi="Century Gothic"/>
        </w:rPr>
        <w:t xml:space="preserve"> work face to face encounter</w:t>
      </w:r>
    </w:p>
    <w:p w:rsidR="00132146" w:rsidRPr="005A412A" w:rsidRDefault="00132146" w:rsidP="00132146">
      <w:pPr>
        <w:pStyle w:val="Heading3"/>
        <w:rPr>
          <w:rFonts w:ascii="Century Gothic" w:hAnsi="Century Gothic"/>
        </w:rPr>
      </w:pPr>
      <w:r w:rsidRPr="005A412A">
        <w:rPr>
          <w:rFonts w:ascii="Century Gothic" w:hAnsi="Century Gothic"/>
        </w:rPr>
        <w:t xml:space="preserve">Activities </w:t>
      </w:r>
    </w:p>
    <w:p w:rsidR="00132146" w:rsidRPr="00BB59AE" w:rsidRDefault="00132146" w:rsidP="00BB59AE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BB59AE">
        <w:rPr>
          <w:rFonts w:ascii="Century Gothic" w:hAnsi="Century Gothic"/>
        </w:rPr>
        <w:t xml:space="preserve">Initial assessment of service needs; </w:t>
      </w:r>
    </w:p>
    <w:p w:rsidR="00132146" w:rsidRPr="005A412A" w:rsidRDefault="00132146" w:rsidP="00BB59AE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5A412A">
        <w:rPr>
          <w:rFonts w:ascii="Century Gothic" w:hAnsi="Century Gothic"/>
        </w:rPr>
        <w:t>Development of a comprehensive, individualized care plan;</w:t>
      </w:r>
    </w:p>
    <w:p w:rsidR="00132146" w:rsidRPr="005A412A" w:rsidRDefault="00132146" w:rsidP="00BB59AE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5A412A">
        <w:rPr>
          <w:rFonts w:ascii="Century Gothic" w:hAnsi="Century Gothic"/>
        </w:rPr>
        <w:t xml:space="preserve">Continuous client monitoring to assess the efficacy of the care plan </w:t>
      </w:r>
    </w:p>
    <w:p w:rsidR="00132146" w:rsidRPr="005A412A" w:rsidRDefault="00132146" w:rsidP="00BB59AE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5A412A">
        <w:rPr>
          <w:rFonts w:ascii="Century Gothic" w:hAnsi="Century Gothic"/>
        </w:rPr>
        <w:t>Re-evaluation of the care plan at least every 6 months with adaptations as necessary; and</w:t>
      </w:r>
    </w:p>
    <w:p w:rsidR="00132146" w:rsidRDefault="00132146" w:rsidP="00BB59AE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5A412A">
        <w:rPr>
          <w:rFonts w:ascii="Century Gothic" w:hAnsi="Century Gothic"/>
        </w:rPr>
        <w:t>Ongoing assessment of the client’s and other key family members’ needs and personal support systems</w:t>
      </w:r>
    </w:p>
    <w:p w:rsidR="00BB59AE" w:rsidRDefault="00BB59AE" w:rsidP="00BB59AE">
      <w:pPr>
        <w:pStyle w:val="Heading3"/>
        <w:rPr>
          <w:rFonts w:ascii="Century Gothic" w:hAnsi="Century Gothic"/>
        </w:rPr>
      </w:pPr>
      <w:r w:rsidRPr="00BB59AE">
        <w:rPr>
          <w:rFonts w:ascii="Century Gothic" w:hAnsi="Century Gothic"/>
        </w:rPr>
        <w:lastRenderedPageBreak/>
        <w:t>Staff</w:t>
      </w:r>
    </w:p>
    <w:p w:rsidR="005A412A" w:rsidRPr="00CA15C0" w:rsidRDefault="00BB59AE" w:rsidP="00CA15C0">
      <w:pPr>
        <w:pStyle w:val="ListParagraph"/>
        <w:numPr>
          <w:ilvl w:val="0"/>
          <w:numId w:val="2"/>
        </w:numPr>
      </w:pPr>
      <w:r>
        <w:rPr>
          <w:rFonts w:ascii="Century Gothic" w:hAnsi="Century Gothic"/>
        </w:rPr>
        <w:t>This unit may be billed by anyone with a social work</w:t>
      </w:r>
      <w:r w:rsidR="00BB00A9">
        <w:rPr>
          <w:rFonts w:ascii="Century Gothic" w:hAnsi="Century Gothic"/>
        </w:rPr>
        <w:t xml:space="preserve"> (RSW, CSW/LMSW, LCSW)</w:t>
      </w:r>
      <w:r>
        <w:rPr>
          <w:rFonts w:ascii="Century Gothic" w:hAnsi="Century Gothic"/>
        </w:rPr>
        <w:t xml:space="preserve"> counseling</w:t>
      </w:r>
      <w:r w:rsidR="00BB00A9">
        <w:rPr>
          <w:rFonts w:ascii="Century Gothic" w:hAnsi="Century Gothic"/>
        </w:rPr>
        <w:t xml:space="preserve"> (PLPC, LPC</w:t>
      </w:r>
      <w:r w:rsidR="00CA15C0">
        <w:rPr>
          <w:rFonts w:ascii="Century Gothic" w:hAnsi="Century Gothic"/>
        </w:rPr>
        <w:t>, PLMFT, LMFT</w:t>
      </w:r>
      <w:r w:rsidR="00BB00A9">
        <w:rPr>
          <w:rFonts w:ascii="Century Gothic" w:hAnsi="Century Gothic"/>
        </w:rPr>
        <w:t>)</w:t>
      </w:r>
      <w:r>
        <w:rPr>
          <w:rFonts w:ascii="Century Gothic" w:hAnsi="Century Gothic"/>
        </w:rPr>
        <w:t xml:space="preserve">, </w:t>
      </w:r>
      <w:r w:rsidR="00CA15C0">
        <w:rPr>
          <w:rFonts w:ascii="Century Gothic" w:hAnsi="Century Gothic"/>
        </w:rPr>
        <w:t xml:space="preserve">or </w:t>
      </w:r>
      <w:r>
        <w:rPr>
          <w:rFonts w:ascii="Century Gothic" w:hAnsi="Century Gothic"/>
        </w:rPr>
        <w:t>addiction counseling</w:t>
      </w:r>
      <w:r w:rsidR="00BB00A9">
        <w:rPr>
          <w:rFonts w:ascii="Century Gothic" w:hAnsi="Century Gothic"/>
        </w:rPr>
        <w:t xml:space="preserve"> (RAC, CAC or LAC)</w:t>
      </w:r>
      <w:r>
        <w:rPr>
          <w:rFonts w:ascii="Century Gothic" w:hAnsi="Century Gothic"/>
        </w:rPr>
        <w:t xml:space="preserve"> license. </w:t>
      </w:r>
    </w:p>
    <w:p w:rsidR="00132146" w:rsidRPr="005A412A" w:rsidRDefault="00D33D52" w:rsidP="00132146">
      <w:pPr>
        <w:pStyle w:val="Heading2"/>
        <w:rPr>
          <w:rFonts w:ascii="Century Gothic" w:hAnsi="Century Gothic"/>
        </w:rPr>
      </w:pPr>
      <w:r>
        <w:rPr>
          <w:rFonts w:ascii="Century Gothic" w:hAnsi="Century Gothic"/>
        </w:rPr>
        <w:t>NMCM</w:t>
      </w:r>
      <w:r w:rsidR="00132146" w:rsidRPr="005A412A">
        <w:rPr>
          <w:rFonts w:ascii="Century Gothic" w:hAnsi="Century Gothic"/>
        </w:rPr>
        <w:t xml:space="preserve"> other staff face to face encounter</w:t>
      </w:r>
    </w:p>
    <w:p w:rsidR="00BB59AE" w:rsidRPr="005A412A" w:rsidRDefault="00BB59AE" w:rsidP="00BB59AE">
      <w:pPr>
        <w:pStyle w:val="Heading3"/>
        <w:rPr>
          <w:rFonts w:ascii="Century Gothic" w:hAnsi="Century Gothic"/>
        </w:rPr>
      </w:pPr>
      <w:r w:rsidRPr="005A412A">
        <w:rPr>
          <w:rFonts w:ascii="Century Gothic" w:hAnsi="Century Gothic"/>
        </w:rPr>
        <w:t xml:space="preserve">Activities </w:t>
      </w:r>
    </w:p>
    <w:p w:rsidR="00BB59AE" w:rsidRPr="00BB59AE" w:rsidRDefault="00BB59AE" w:rsidP="00BB59AE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BB59AE">
        <w:rPr>
          <w:rFonts w:ascii="Century Gothic" w:hAnsi="Century Gothic"/>
        </w:rPr>
        <w:t xml:space="preserve">Initial assessment of service needs; </w:t>
      </w:r>
    </w:p>
    <w:p w:rsidR="00BB59AE" w:rsidRPr="005A412A" w:rsidRDefault="00BB59AE" w:rsidP="00BB59AE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5A412A">
        <w:rPr>
          <w:rFonts w:ascii="Century Gothic" w:hAnsi="Century Gothic"/>
        </w:rPr>
        <w:t>Development of a comprehensive, individualized care plan;</w:t>
      </w:r>
    </w:p>
    <w:p w:rsidR="00BB59AE" w:rsidRPr="005A412A" w:rsidRDefault="00BB59AE" w:rsidP="00BB59AE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5A412A">
        <w:rPr>
          <w:rFonts w:ascii="Century Gothic" w:hAnsi="Century Gothic"/>
        </w:rPr>
        <w:t xml:space="preserve">Continuous client monitoring to assess the efficacy of the care plan </w:t>
      </w:r>
    </w:p>
    <w:p w:rsidR="00BB59AE" w:rsidRPr="005A412A" w:rsidRDefault="00BB59AE" w:rsidP="00BB59AE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5A412A">
        <w:rPr>
          <w:rFonts w:ascii="Century Gothic" w:hAnsi="Century Gothic"/>
        </w:rPr>
        <w:t>Re-evaluation of the care plan at least every 6 months with adaptations as necessary; and</w:t>
      </w:r>
    </w:p>
    <w:p w:rsidR="00BB59AE" w:rsidRDefault="00BB59AE" w:rsidP="00BB59AE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5A412A">
        <w:rPr>
          <w:rFonts w:ascii="Century Gothic" w:hAnsi="Century Gothic"/>
        </w:rPr>
        <w:t>Ongoing assessment of the client’s and other key family members’ needs and personal support systems</w:t>
      </w:r>
    </w:p>
    <w:p w:rsidR="00BB59AE" w:rsidRDefault="00BB59AE" w:rsidP="00BB59AE">
      <w:pPr>
        <w:pStyle w:val="Heading3"/>
        <w:rPr>
          <w:rFonts w:ascii="Century Gothic" w:hAnsi="Century Gothic"/>
        </w:rPr>
      </w:pPr>
      <w:r w:rsidRPr="00BB59AE">
        <w:rPr>
          <w:rFonts w:ascii="Century Gothic" w:hAnsi="Century Gothic"/>
        </w:rPr>
        <w:t>Staff</w:t>
      </w:r>
    </w:p>
    <w:p w:rsidR="00132146" w:rsidRPr="00CA15C0" w:rsidRDefault="00BB59AE" w:rsidP="00132146">
      <w:pPr>
        <w:pStyle w:val="ListParagraph"/>
        <w:numPr>
          <w:ilvl w:val="0"/>
          <w:numId w:val="2"/>
        </w:numPr>
      </w:pPr>
      <w:r>
        <w:rPr>
          <w:rFonts w:ascii="Century Gothic" w:hAnsi="Century Gothic"/>
        </w:rPr>
        <w:t xml:space="preserve">This unit may be billed by any individual without a mental health licensure. </w:t>
      </w:r>
      <w:r w:rsidR="00CA15C0">
        <w:rPr>
          <w:rFonts w:ascii="Century Gothic" w:hAnsi="Century Gothic"/>
        </w:rPr>
        <w:t xml:space="preserve">Staff must meet minimum education requirements set forth in the Ryan White Part B and HOPWA Universal Organization and Service Standards. </w:t>
      </w:r>
    </w:p>
    <w:p w:rsidR="00132146" w:rsidRPr="005A412A" w:rsidRDefault="00D33D52" w:rsidP="00132146">
      <w:pPr>
        <w:pStyle w:val="Heading2"/>
        <w:rPr>
          <w:rFonts w:ascii="Century Gothic" w:hAnsi="Century Gothic"/>
        </w:rPr>
      </w:pPr>
      <w:r>
        <w:rPr>
          <w:rFonts w:ascii="Century Gothic" w:hAnsi="Century Gothic"/>
        </w:rPr>
        <w:t>NMCM</w:t>
      </w:r>
      <w:r w:rsidR="00132146" w:rsidRPr="005A412A">
        <w:rPr>
          <w:rFonts w:ascii="Century Gothic" w:hAnsi="Century Gothic"/>
        </w:rPr>
        <w:t xml:space="preserve"> social work other encounter</w:t>
      </w:r>
    </w:p>
    <w:p w:rsidR="00CA15C0" w:rsidRPr="005A412A" w:rsidRDefault="00CA15C0" w:rsidP="00CA15C0">
      <w:pPr>
        <w:pStyle w:val="Heading3"/>
        <w:rPr>
          <w:rFonts w:ascii="Century Gothic" w:hAnsi="Century Gothic"/>
        </w:rPr>
      </w:pPr>
      <w:r w:rsidRPr="005A412A">
        <w:rPr>
          <w:rFonts w:ascii="Century Gothic" w:hAnsi="Century Gothic"/>
        </w:rPr>
        <w:t xml:space="preserve">Activities </w:t>
      </w:r>
    </w:p>
    <w:p w:rsidR="00CA15C0" w:rsidRPr="00BB59AE" w:rsidRDefault="00CA15C0" w:rsidP="00CA15C0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BB59AE">
        <w:rPr>
          <w:rFonts w:ascii="Century Gothic" w:hAnsi="Century Gothic"/>
        </w:rPr>
        <w:t xml:space="preserve">Initial assessment of service needs; </w:t>
      </w:r>
    </w:p>
    <w:p w:rsidR="00CA15C0" w:rsidRPr="005A412A" w:rsidRDefault="00CA15C0" w:rsidP="00CA15C0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5A412A">
        <w:rPr>
          <w:rFonts w:ascii="Century Gothic" w:hAnsi="Century Gothic"/>
        </w:rPr>
        <w:t>Development of a comprehensive, individualized care plan;</w:t>
      </w:r>
    </w:p>
    <w:p w:rsidR="00CA15C0" w:rsidRPr="005A412A" w:rsidRDefault="00CA15C0" w:rsidP="00CA15C0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5A412A">
        <w:rPr>
          <w:rFonts w:ascii="Century Gothic" w:hAnsi="Century Gothic"/>
        </w:rPr>
        <w:t xml:space="preserve">Continuous client monitoring to assess the efficacy of the care plan </w:t>
      </w:r>
    </w:p>
    <w:p w:rsidR="00CA15C0" w:rsidRPr="005A412A" w:rsidRDefault="00CA15C0" w:rsidP="00CA15C0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5A412A">
        <w:rPr>
          <w:rFonts w:ascii="Century Gothic" w:hAnsi="Century Gothic"/>
        </w:rPr>
        <w:t>Re-evaluation of the care plan at least every 6 months with adaptations as necessary; and</w:t>
      </w:r>
    </w:p>
    <w:p w:rsidR="00CA15C0" w:rsidRDefault="00CA15C0" w:rsidP="00CA15C0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5A412A">
        <w:rPr>
          <w:rFonts w:ascii="Century Gothic" w:hAnsi="Century Gothic"/>
        </w:rPr>
        <w:t>Ongoing assessment of the client’s and other key family members’ needs and personal support systems</w:t>
      </w:r>
    </w:p>
    <w:p w:rsidR="00CA15C0" w:rsidRDefault="00CA15C0" w:rsidP="00CA15C0">
      <w:pPr>
        <w:pStyle w:val="Heading3"/>
        <w:rPr>
          <w:rFonts w:ascii="Century Gothic" w:hAnsi="Century Gothic"/>
        </w:rPr>
      </w:pPr>
      <w:r w:rsidRPr="00BB59AE">
        <w:rPr>
          <w:rFonts w:ascii="Century Gothic" w:hAnsi="Century Gothic"/>
        </w:rPr>
        <w:t>Staff</w:t>
      </w:r>
    </w:p>
    <w:p w:rsidR="00132146" w:rsidRPr="00CA15C0" w:rsidRDefault="00CA15C0" w:rsidP="00132146">
      <w:pPr>
        <w:pStyle w:val="ListParagraph"/>
        <w:numPr>
          <w:ilvl w:val="0"/>
          <w:numId w:val="2"/>
        </w:numPr>
      </w:pPr>
      <w:r>
        <w:rPr>
          <w:rFonts w:ascii="Century Gothic" w:hAnsi="Century Gothic"/>
        </w:rPr>
        <w:t xml:space="preserve">This unit may be billed by anyone with a social work (RSW, CSW/LMSW, LCSW) counseling (PLPC, LPC, PLMFT, LMFT), or addiction counseling (RAC, CAC or LAC) license. </w:t>
      </w:r>
    </w:p>
    <w:p w:rsidR="00132146" w:rsidRPr="005A412A" w:rsidRDefault="00D33D52" w:rsidP="00132146">
      <w:pPr>
        <w:pStyle w:val="Heading2"/>
        <w:rPr>
          <w:rFonts w:ascii="Century Gothic" w:hAnsi="Century Gothic"/>
        </w:rPr>
      </w:pPr>
      <w:r>
        <w:rPr>
          <w:rFonts w:ascii="Century Gothic" w:hAnsi="Century Gothic"/>
        </w:rPr>
        <w:t>NMCM</w:t>
      </w:r>
      <w:r w:rsidR="00132146" w:rsidRPr="005A412A">
        <w:rPr>
          <w:rFonts w:ascii="Century Gothic" w:hAnsi="Century Gothic"/>
        </w:rPr>
        <w:t xml:space="preserve"> other staff other encounter</w:t>
      </w:r>
    </w:p>
    <w:p w:rsidR="00CA15C0" w:rsidRPr="005A412A" w:rsidRDefault="00CA15C0" w:rsidP="00CA15C0">
      <w:pPr>
        <w:pStyle w:val="Heading3"/>
        <w:rPr>
          <w:rFonts w:ascii="Century Gothic" w:hAnsi="Century Gothic"/>
        </w:rPr>
      </w:pPr>
      <w:r w:rsidRPr="005A412A">
        <w:rPr>
          <w:rFonts w:ascii="Century Gothic" w:hAnsi="Century Gothic"/>
        </w:rPr>
        <w:t xml:space="preserve">Activities </w:t>
      </w:r>
    </w:p>
    <w:p w:rsidR="00CA15C0" w:rsidRPr="00BB59AE" w:rsidRDefault="00CA15C0" w:rsidP="00CA15C0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BB59AE">
        <w:rPr>
          <w:rFonts w:ascii="Century Gothic" w:hAnsi="Century Gothic"/>
        </w:rPr>
        <w:t xml:space="preserve">Initial assessment of service needs; </w:t>
      </w:r>
    </w:p>
    <w:p w:rsidR="00CA15C0" w:rsidRPr="005A412A" w:rsidRDefault="00CA15C0" w:rsidP="00CA15C0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5A412A">
        <w:rPr>
          <w:rFonts w:ascii="Century Gothic" w:hAnsi="Century Gothic"/>
        </w:rPr>
        <w:t>Development of a comprehensive, individualized care plan;</w:t>
      </w:r>
    </w:p>
    <w:p w:rsidR="00CA15C0" w:rsidRPr="005A412A" w:rsidRDefault="00CA15C0" w:rsidP="00CA15C0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5A412A">
        <w:rPr>
          <w:rFonts w:ascii="Century Gothic" w:hAnsi="Century Gothic"/>
        </w:rPr>
        <w:t xml:space="preserve">Continuous client monitoring to assess the efficacy of the care plan </w:t>
      </w:r>
    </w:p>
    <w:p w:rsidR="00CA15C0" w:rsidRPr="005A412A" w:rsidRDefault="00CA15C0" w:rsidP="00CA15C0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5A412A">
        <w:rPr>
          <w:rFonts w:ascii="Century Gothic" w:hAnsi="Century Gothic"/>
        </w:rPr>
        <w:t>Re-evaluation of the care plan at least every 6 months with adaptations as necessary; and</w:t>
      </w:r>
    </w:p>
    <w:p w:rsidR="00CA15C0" w:rsidRDefault="00CA15C0" w:rsidP="00CA15C0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5A412A">
        <w:rPr>
          <w:rFonts w:ascii="Century Gothic" w:hAnsi="Century Gothic"/>
        </w:rPr>
        <w:t>Ongoing assessment of the client’s and other key family members’ needs and personal support systems</w:t>
      </w:r>
    </w:p>
    <w:p w:rsidR="00CA15C0" w:rsidRDefault="00CA15C0" w:rsidP="00CA15C0">
      <w:pPr>
        <w:pStyle w:val="Heading3"/>
        <w:rPr>
          <w:rFonts w:ascii="Century Gothic" w:hAnsi="Century Gothic"/>
        </w:rPr>
      </w:pPr>
      <w:r w:rsidRPr="00BB59AE">
        <w:rPr>
          <w:rFonts w:ascii="Century Gothic" w:hAnsi="Century Gothic"/>
        </w:rPr>
        <w:lastRenderedPageBreak/>
        <w:t>Staff</w:t>
      </w:r>
    </w:p>
    <w:p w:rsidR="00132146" w:rsidRPr="00CA15C0" w:rsidRDefault="00CA15C0" w:rsidP="00CA15C0">
      <w:pPr>
        <w:pStyle w:val="ListParagraph"/>
        <w:numPr>
          <w:ilvl w:val="0"/>
          <w:numId w:val="2"/>
        </w:numPr>
      </w:pPr>
      <w:r>
        <w:rPr>
          <w:rFonts w:ascii="Century Gothic" w:hAnsi="Century Gothic"/>
        </w:rPr>
        <w:t>This unit may be billed by any individual without a mental health licensure. Staff must meet minimum education requirements set forth in the Ryan White Part B and HOPWA Universal Organization and Service Standards.</w:t>
      </w:r>
    </w:p>
    <w:p w:rsidR="00132146" w:rsidRPr="005A412A" w:rsidRDefault="00132146" w:rsidP="00132146">
      <w:pPr>
        <w:pStyle w:val="Heading1"/>
        <w:rPr>
          <w:rFonts w:ascii="Century Gothic" w:hAnsi="Century Gothic"/>
        </w:rPr>
      </w:pPr>
      <w:r w:rsidRPr="005A412A">
        <w:rPr>
          <w:rFonts w:ascii="Century Gothic" w:hAnsi="Century Gothic"/>
        </w:rPr>
        <w:t xml:space="preserve">Health Education </w:t>
      </w:r>
    </w:p>
    <w:p w:rsidR="00132146" w:rsidRPr="00CA15C0" w:rsidRDefault="00D33D52" w:rsidP="00132146">
      <w:pPr>
        <w:pStyle w:val="Heading2"/>
        <w:rPr>
          <w:rFonts w:ascii="Century Gothic" w:hAnsi="Century Gothic"/>
        </w:rPr>
      </w:pPr>
      <w:r>
        <w:rPr>
          <w:rFonts w:ascii="Century Gothic" w:hAnsi="Century Gothic"/>
        </w:rPr>
        <w:t>Health Education:</w:t>
      </w:r>
      <w:r w:rsidR="00132146" w:rsidRPr="00CA15C0">
        <w:rPr>
          <w:rFonts w:ascii="Century Gothic" w:hAnsi="Century Gothic"/>
        </w:rPr>
        <w:t xml:space="preserve"> individual encounter</w:t>
      </w:r>
    </w:p>
    <w:p w:rsidR="00CA15C0" w:rsidRPr="00CA15C0" w:rsidRDefault="00CA15C0" w:rsidP="00CA15C0">
      <w:pPr>
        <w:pStyle w:val="Heading3"/>
        <w:rPr>
          <w:rFonts w:ascii="Century Gothic" w:hAnsi="Century Gothic"/>
        </w:rPr>
      </w:pPr>
      <w:r w:rsidRPr="00CA15C0">
        <w:rPr>
          <w:rFonts w:ascii="Century Gothic" w:hAnsi="Century Gothic"/>
        </w:rPr>
        <w:t xml:space="preserve">Activities </w:t>
      </w:r>
    </w:p>
    <w:p w:rsidR="00CA15C0" w:rsidRPr="00CA15C0" w:rsidRDefault="00CA15C0" w:rsidP="00CA15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A15C0">
        <w:rPr>
          <w:rFonts w:ascii="Century Gothic" w:hAnsi="Century Gothic"/>
        </w:rPr>
        <w:t>Education on health care coverage options (e.g. qualified health plans through the Marketplace, Medicaid coverage, Medicare coverage)</w:t>
      </w:r>
    </w:p>
    <w:p w:rsidR="00CA15C0" w:rsidRPr="00CA15C0" w:rsidRDefault="00CA15C0" w:rsidP="00CA15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A15C0">
        <w:rPr>
          <w:rFonts w:ascii="Century Gothic" w:hAnsi="Century Gothic"/>
        </w:rPr>
        <w:t>Health literacy education</w:t>
      </w:r>
    </w:p>
    <w:p w:rsidR="00CA15C0" w:rsidRPr="00CA15C0" w:rsidRDefault="00CA15C0" w:rsidP="00CA15C0">
      <w:pPr>
        <w:rPr>
          <w:rFonts w:ascii="Century Gothic" w:hAnsi="Century Gothic"/>
        </w:rPr>
      </w:pPr>
    </w:p>
    <w:p w:rsidR="00CA15C0" w:rsidRDefault="00CA15C0" w:rsidP="00CA15C0">
      <w:pPr>
        <w:pStyle w:val="Heading3"/>
        <w:rPr>
          <w:rFonts w:ascii="Century Gothic" w:hAnsi="Century Gothic"/>
        </w:rPr>
      </w:pPr>
      <w:r w:rsidRPr="00CA15C0">
        <w:rPr>
          <w:rFonts w:ascii="Century Gothic" w:hAnsi="Century Gothic"/>
        </w:rPr>
        <w:t>Staff</w:t>
      </w:r>
    </w:p>
    <w:p w:rsidR="00CA15C0" w:rsidRDefault="00CA15C0" w:rsidP="00CA15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A15C0">
        <w:rPr>
          <w:rFonts w:ascii="Century Gothic" w:hAnsi="Century Gothic"/>
        </w:rPr>
        <w:t xml:space="preserve">Staff performing Health Education and Risk Reduction activities </w:t>
      </w:r>
      <w:r w:rsidR="00C71599">
        <w:rPr>
          <w:rFonts w:ascii="Century Gothic" w:hAnsi="Century Gothic"/>
        </w:rPr>
        <w:t>must</w:t>
      </w:r>
      <w:r w:rsidRPr="00CA15C0">
        <w:rPr>
          <w:rFonts w:ascii="Century Gothic" w:hAnsi="Century Gothic"/>
        </w:rPr>
        <w:t xml:space="preserve"> have a high school degree and at least two years of relevant experience. Providers must also demonstrate topic specific knowledge which will be used to provide these services. </w:t>
      </w:r>
    </w:p>
    <w:p w:rsidR="00CA15C0" w:rsidRPr="00CA15C0" w:rsidRDefault="00CA15C0" w:rsidP="00CA15C0">
      <w:pPr>
        <w:pStyle w:val="ListParagraph"/>
        <w:spacing w:after="0" w:line="240" w:lineRule="auto"/>
        <w:jc w:val="both"/>
        <w:rPr>
          <w:rFonts w:ascii="Century Gothic" w:hAnsi="Century Gothic"/>
        </w:rPr>
      </w:pPr>
    </w:p>
    <w:p w:rsidR="00132146" w:rsidRPr="005A412A" w:rsidRDefault="00D33D52" w:rsidP="00132146">
      <w:pPr>
        <w:pStyle w:val="Heading2"/>
        <w:rPr>
          <w:rFonts w:ascii="Century Gothic" w:hAnsi="Century Gothic"/>
        </w:rPr>
      </w:pPr>
      <w:r>
        <w:rPr>
          <w:rFonts w:ascii="Century Gothic" w:hAnsi="Century Gothic"/>
        </w:rPr>
        <w:t xml:space="preserve">Health Education: </w:t>
      </w:r>
      <w:r w:rsidR="00132146" w:rsidRPr="005A412A">
        <w:rPr>
          <w:rFonts w:ascii="Century Gothic" w:hAnsi="Century Gothic"/>
        </w:rPr>
        <w:t>1 hour group encounter</w:t>
      </w:r>
    </w:p>
    <w:p w:rsidR="00CA15C0" w:rsidRPr="00CA15C0" w:rsidRDefault="00CA15C0" w:rsidP="00CA15C0">
      <w:pPr>
        <w:pStyle w:val="Heading3"/>
        <w:rPr>
          <w:rFonts w:ascii="Century Gothic" w:hAnsi="Century Gothic"/>
        </w:rPr>
      </w:pPr>
      <w:r w:rsidRPr="00CA15C0">
        <w:rPr>
          <w:rFonts w:ascii="Century Gothic" w:hAnsi="Century Gothic"/>
        </w:rPr>
        <w:t xml:space="preserve">Activities </w:t>
      </w:r>
    </w:p>
    <w:p w:rsidR="00CA15C0" w:rsidRPr="00CA15C0" w:rsidRDefault="00CA15C0" w:rsidP="00CA15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A15C0">
        <w:rPr>
          <w:rFonts w:ascii="Century Gothic" w:hAnsi="Century Gothic"/>
        </w:rPr>
        <w:t>Education on health care coverage options (e.g. qualified health plans through the Marketplace, Medicaid coverage, Medicare coverage)</w:t>
      </w:r>
    </w:p>
    <w:p w:rsidR="00CA15C0" w:rsidRPr="00CA15C0" w:rsidRDefault="00CA15C0" w:rsidP="00CA15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A15C0">
        <w:rPr>
          <w:rFonts w:ascii="Century Gothic" w:hAnsi="Century Gothic"/>
        </w:rPr>
        <w:t>Health literacy education</w:t>
      </w:r>
    </w:p>
    <w:p w:rsidR="00CA15C0" w:rsidRPr="00CA15C0" w:rsidRDefault="00CA15C0" w:rsidP="00CA15C0">
      <w:pPr>
        <w:rPr>
          <w:rFonts w:ascii="Century Gothic" w:hAnsi="Century Gothic"/>
        </w:rPr>
      </w:pPr>
    </w:p>
    <w:p w:rsidR="00CA15C0" w:rsidRDefault="00CA15C0" w:rsidP="00CA15C0">
      <w:pPr>
        <w:pStyle w:val="Heading3"/>
        <w:rPr>
          <w:rFonts w:ascii="Century Gothic" w:hAnsi="Century Gothic"/>
        </w:rPr>
      </w:pPr>
      <w:r w:rsidRPr="00CA15C0">
        <w:rPr>
          <w:rFonts w:ascii="Century Gothic" w:hAnsi="Century Gothic"/>
        </w:rPr>
        <w:t>Staff</w:t>
      </w:r>
    </w:p>
    <w:p w:rsidR="00CA15C0" w:rsidRPr="00CA15C0" w:rsidRDefault="00CA15C0" w:rsidP="00CA15C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A15C0">
        <w:rPr>
          <w:rFonts w:ascii="Century Gothic" w:hAnsi="Century Gothic"/>
        </w:rPr>
        <w:t xml:space="preserve">Staff performing Health Education and Risk Reduction activities </w:t>
      </w:r>
      <w:r w:rsidR="0050058A">
        <w:rPr>
          <w:rFonts w:ascii="Century Gothic" w:hAnsi="Century Gothic"/>
        </w:rPr>
        <w:t>must</w:t>
      </w:r>
      <w:r w:rsidRPr="00CA15C0">
        <w:rPr>
          <w:rFonts w:ascii="Century Gothic" w:hAnsi="Century Gothic"/>
        </w:rPr>
        <w:t xml:space="preserve"> have</w:t>
      </w:r>
      <w:r w:rsidR="0050058A">
        <w:rPr>
          <w:rFonts w:ascii="Century Gothic" w:hAnsi="Century Gothic"/>
        </w:rPr>
        <w:t xml:space="preserve">, at minimum, </w:t>
      </w:r>
      <w:r w:rsidRPr="00CA15C0">
        <w:rPr>
          <w:rFonts w:ascii="Century Gothic" w:hAnsi="Century Gothic"/>
        </w:rPr>
        <w:t xml:space="preserve">a high school degree and at least two years of relevant experience. Providers must also demonstrate topic specific knowledge which will be used to provide these services. </w:t>
      </w:r>
    </w:p>
    <w:p w:rsidR="00132146" w:rsidRPr="005A412A" w:rsidRDefault="00132146">
      <w:pPr>
        <w:rPr>
          <w:rFonts w:ascii="Century Gothic" w:hAnsi="Century Gothic"/>
        </w:rPr>
      </w:pPr>
    </w:p>
    <w:p w:rsidR="00132146" w:rsidRPr="005A412A" w:rsidRDefault="00132146" w:rsidP="00132146">
      <w:pPr>
        <w:pStyle w:val="Heading1"/>
        <w:rPr>
          <w:rFonts w:ascii="Century Gothic" w:hAnsi="Century Gothic"/>
        </w:rPr>
      </w:pPr>
      <w:r w:rsidRPr="005A412A">
        <w:rPr>
          <w:rFonts w:ascii="Century Gothic" w:hAnsi="Century Gothic"/>
        </w:rPr>
        <w:t>Outreach</w:t>
      </w:r>
    </w:p>
    <w:p w:rsidR="00132146" w:rsidRPr="005A412A" w:rsidRDefault="00132146" w:rsidP="00132146">
      <w:pPr>
        <w:pStyle w:val="Heading2"/>
        <w:rPr>
          <w:rFonts w:ascii="Century Gothic" w:hAnsi="Century Gothic"/>
        </w:rPr>
      </w:pPr>
      <w:r w:rsidRPr="005A412A">
        <w:rPr>
          <w:rFonts w:ascii="Century Gothic" w:hAnsi="Century Gothic"/>
        </w:rPr>
        <w:t>15 minute outreach to PLWH encounter</w:t>
      </w:r>
    </w:p>
    <w:p w:rsidR="00132146" w:rsidRDefault="00CA15C0" w:rsidP="00CA15C0">
      <w:pPr>
        <w:pStyle w:val="Heading3"/>
        <w:rPr>
          <w:rFonts w:ascii="Century Gothic" w:hAnsi="Century Gothic"/>
        </w:rPr>
      </w:pPr>
      <w:r w:rsidRPr="00CA15C0">
        <w:rPr>
          <w:rFonts w:ascii="Century Gothic" w:hAnsi="Century Gothic"/>
        </w:rPr>
        <w:t xml:space="preserve">Activities </w:t>
      </w:r>
    </w:p>
    <w:p w:rsidR="00CA15C0" w:rsidRPr="0050058A" w:rsidRDefault="0050058A" w:rsidP="00CA15C0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50058A">
        <w:rPr>
          <w:rFonts w:ascii="Century Gothic" w:hAnsi="Century Gothic"/>
        </w:rPr>
        <w:t xml:space="preserve">Outreach Services include the provision of reengagement of people who know their status into health services. </w:t>
      </w:r>
    </w:p>
    <w:p w:rsidR="00CA15C0" w:rsidRDefault="00CA15C0" w:rsidP="00CA15C0">
      <w:pPr>
        <w:pStyle w:val="Heading3"/>
        <w:rPr>
          <w:rFonts w:ascii="Century Gothic" w:hAnsi="Century Gothic"/>
        </w:rPr>
      </w:pPr>
      <w:r w:rsidRPr="00CA15C0">
        <w:rPr>
          <w:rFonts w:ascii="Century Gothic" w:hAnsi="Century Gothic"/>
        </w:rPr>
        <w:t>Staff</w:t>
      </w:r>
    </w:p>
    <w:p w:rsidR="0050058A" w:rsidRDefault="0050058A" w:rsidP="0050058A">
      <w:pPr>
        <w:numPr>
          <w:ilvl w:val="0"/>
          <w:numId w:val="1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Staff performing Outreach Services must have, at minimum, </w:t>
      </w:r>
      <w:r w:rsidRPr="00CA15C0">
        <w:rPr>
          <w:rFonts w:ascii="Century Gothic" w:hAnsi="Century Gothic"/>
        </w:rPr>
        <w:t>a high school degree and at least two years of relevant experience.</w:t>
      </w:r>
    </w:p>
    <w:p w:rsidR="0050058A" w:rsidRPr="00532BAD" w:rsidRDefault="0050058A" w:rsidP="0050058A">
      <w:pPr>
        <w:numPr>
          <w:ilvl w:val="0"/>
          <w:numId w:val="11"/>
        </w:numPr>
        <w:spacing w:after="0" w:line="240" w:lineRule="auto"/>
        <w:rPr>
          <w:rFonts w:ascii="Century Gothic" w:hAnsi="Century Gothic"/>
        </w:rPr>
      </w:pPr>
      <w:r w:rsidRPr="00532BAD">
        <w:rPr>
          <w:rFonts w:ascii="Century Gothic" w:hAnsi="Century Gothic"/>
        </w:rPr>
        <w:t xml:space="preserve">Provider(s) must demonstrate that employees hired to provide Outreach services have adequate knowledge of local primary care sites and agencies that </w:t>
      </w:r>
      <w:r w:rsidRPr="00532BAD">
        <w:rPr>
          <w:rFonts w:ascii="Century Gothic" w:hAnsi="Century Gothic"/>
        </w:rPr>
        <w:lastRenderedPageBreak/>
        <w:t xml:space="preserve">provide supportive services, and are able to appropriately assist eligible </w:t>
      </w:r>
      <w:r>
        <w:rPr>
          <w:rFonts w:ascii="Century Gothic" w:hAnsi="Century Gothic"/>
        </w:rPr>
        <w:t xml:space="preserve">people living with </w:t>
      </w:r>
      <w:r w:rsidRPr="00532BAD">
        <w:rPr>
          <w:rFonts w:ascii="Century Gothic" w:hAnsi="Century Gothic"/>
        </w:rPr>
        <w:t>HIV in accessing these services.</w:t>
      </w:r>
    </w:p>
    <w:p w:rsidR="0050058A" w:rsidRPr="0050058A" w:rsidRDefault="0050058A" w:rsidP="0050058A"/>
    <w:p w:rsidR="00132146" w:rsidRPr="005A412A" w:rsidRDefault="00132146" w:rsidP="00132146">
      <w:pPr>
        <w:pStyle w:val="Heading1"/>
        <w:rPr>
          <w:rFonts w:ascii="Century Gothic" w:hAnsi="Century Gothic"/>
        </w:rPr>
      </w:pPr>
      <w:r w:rsidRPr="005A412A">
        <w:rPr>
          <w:rFonts w:ascii="Century Gothic" w:hAnsi="Century Gothic"/>
        </w:rPr>
        <w:t>Referral</w:t>
      </w:r>
    </w:p>
    <w:p w:rsidR="00132146" w:rsidRPr="005A412A" w:rsidRDefault="00D33D52" w:rsidP="00132146">
      <w:pPr>
        <w:pStyle w:val="Heading2"/>
        <w:rPr>
          <w:rFonts w:ascii="Century Gothic" w:hAnsi="Century Gothic"/>
        </w:rPr>
      </w:pPr>
      <w:r>
        <w:rPr>
          <w:rFonts w:ascii="Century Gothic" w:hAnsi="Century Gothic"/>
        </w:rPr>
        <w:t>Referral: 1 external referral</w:t>
      </w:r>
    </w:p>
    <w:p w:rsidR="0050058A" w:rsidRDefault="0050058A" w:rsidP="0050058A">
      <w:pPr>
        <w:pStyle w:val="Heading3"/>
        <w:rPr>
          <w:rFonts w:ascii="Century Gothic" w:hAnsi="Century Gothic"/>
        </w:rPr>
      </w:pPr>
      <w:r>
        <w:rPr>
          <w:rFonts w:ascii="Century Gothic" w:hAnsi="Century Gothic"/>
        </w:rPr>
        <w:t xml:space="preserve">Activities </w:t>
      </w:r>
    </w:p>
    <w:p w:rsidR="0050058A" w:rsidRPr="00D33D52" w:rsidRDefault="0050058A" w:rsidP="0050058A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 w:rsidRPr="0050058A">
        <w:rPr>
          <w:rFonts w:ascii="Century Gothic" w:hAnsi="Century Gothic"/>
        </w:rPr>
        <w:t>Referral and direction of clients to medical, psychosocial and educational resources as deemed necessary.</w:t>
      </w:r>
      <w:r>
        <w:rPr>
          <w:rFonts w:ascii="Century Gothic" w:hAnsi="Century Gothic"/>
        </w:rPr>
        <w:t xml:space="preserve"> Referrals may only be billed as a service if they are to outside agencies.</w:t>
      </w:r>
    </w:p>
    <w:p w:rsidR="0050058A" w:rsidRDefault="0050058A" w:rsidP="0050058A">
      <w:pPr>
        <w:pStyle w:val="Heading3"/>
        <w:rPr>
          <w:rFonts w:ascii="Century Gothic" w:hAnsi="Century Gothic"/>
        </w:rPr>
      </w:pPr>
      <w:r w:rsidRPr="00CA15C0">
        <w:rPr>
          <w:rFonts w:ascii="Century Gothic" w:hAnsi="Century Gothic"/>
        </w:rPr>
        <w:t>Staff</w:t>
      </w:r>
    </w:p>
    <w:p w:rsidR="0050058A" w:rsidRDefault="0050058A" w:rsidP="0050058A">
      <w:pPr>
        <w:numPr>
          <w:ilvl w:val="0"/>
          <w:numId w:val="1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Staff performing </w:t>
      </w:r>
      <w:r w:rsidR="00DE11C5">
        <w:rPr>
          <w:rFonts w:ascii="Century Gothic" w:hAnsi="Century Gothic"/>
        </w:rPr>
        <w:t>Referral</w:t>
      </w:r>
      <w:bookmarkStart w:id="0" w:name="_GoBack"/>
      <w:bookmarkEnd w:id="0"/>
      <w:r>
        <w:rPr>
          <w:rFonts w:ascii="Century Gothic" w:hAnsi="Century Gothic"/>
        </w:rPr>
        <w:t xml:space="preserve"> Services must have, at minimum, </w:t>
      </w:r>
      <w:r w:rsidRPr="00CA15C0">
        <w:rPr>
          <w:rFonts w:ascii="Century Gothic" w:hAnsi="Century Gothic"/>
        </w:rPr>
        <w:t>a high school degree and at least two years of relevant experience.</w:t>
      </w:r>
    </w:p>
    <w:p w:rsidR="0050058A" w:rsidRPr="00532BAD" w:rsidRDefault="0050058A" w:rsidP="0050058A">
      <w:pPr>
        <w:numPr>
          <w:ilvl w:val="0"/>
          <w:numId w:val="11"/>
        </w:numPr>
        <w:spacing w:after="0" w:line="240" w:lineRule="auto"/>
        <w:rPr>
          <w:rFonts w:ascii="Century Gothic" w:hAnsi="Century Gothic"/>
        </w:rPr>
      </w:pPr>
      <w:r w:rsidRPr="00532BAD">
        <w:rPr>
          <w:rFonts w:ascii="Century Gothic" w:hAnsi="Century Gothic"/>
        </w:rPr>
        <w:t xml:space="preserve">Provider(s) must demonstrate that employees hired to provide </w:t>
      </w:r>
      <w:r w:rsidR="00CA632F">
        <w:rPr>
          <w:rFonts w:ascii="Century Gothic" w:hAnsi="Century Gothic"/>
        </w:rPr>
        <w:t>Referral</w:t>
      </w:r>
      <w:r w:rsidRPr="00532BAD">
        <w:rPr>
          <w:rFonts w:ascii="Century Gothic" w:hAnsi="Century Gothic"/>
        </w:rPr>
        <w:t xml:space="preserve"> services have adequate knowledge of local primary care sites and agencies that provide supportive services, and are able to appropriately assist eligible </w:t>
      </w:r>
      <w:r>
        <w:rPr>
          <w:rFonts w:ascii="Century Gothic" w:hAnsi="Century Gothic"/>
        </w:rPr>
        <w:t xml:space="preserve">people living with </w:t>
      </w:r>
      <w:r w:rsidRPr="00532BAD">
        <w:rPr>
          <w:rFonts w:ascii="Century Gothic" w:hAnsi="Century Gothic"/>
        </w:rPr>
        <w:t>HIV in accessing these services.</w:t>
      </w:r>
    </w:p>
    <w:p w:rsidR="00132146" w:rsidRPr="005A412A" w:rsidRDefault="00132146">
      <w:pPr>
        <w:rPr>
          <w:rFonts w:ascii="Century Gothic" w:hAnsi="Century Gothic"/>
        </w:rPr>
      </w:pPr>
    </w:p>
    <w:p w:rsidR="00132146" w:rsidRPr="005A412A" w:rsidRDefault="00132146" w:rsidP="00132146">
      <w:pPr>
        <w:pStyle w:val="Heading1"/>
        <w:rPr>
          <w:rFonts w:ascii="Century Gothic" w:hAnsi="Century Gothic"/>
        </w:rPr>
      </w:pPr>
      <w:r w:rsidRPr="005A412A">
        <w:rPr>
          <w:rFonts w:ascii="Century Gothic" w:hAnsi="Century Gothic"/>
        </w:rPr>
        <w:t>Medical Transportation</w:t>
      </w:r>
    </w:p>
    <w:p w:rsidR="00132146" w:rsidRPr="005A412A" w:rsidRDefault="00132146" w:rsidP="00132146">
      <w:pPr>
        <w:pStyle w:val="Heading2"/>
        <w:rPr>
          <w:rFonts w:ascii="Century Gothic" w:hAnsi="Century Gothic"/>
        </w:rPr>
      </w:pPr>
      <w:r w:rsidRPr="005A412A">
        <w:rPr>
          <w:rFonts w:ascii="Century Gothic" w:hAnsi="Century Gothic"/>
        </w:rPr>
        <w:t>1 one way trip</w:t>
      </w:r>
    </w:p>
    <w:p w:rsidR="00132146" w:rsidRDefault="00087872" w:rsidP="00087872">
      <w:pPr>
        <w:pStyle w:val="Heading3"/>
        <w:rPr>
          <w:rFonts w:ascii="Century Gothic" w:hAnsi="Century Gothic"/>
        </w:rPr>
      </w:pPr>
      <w:r w:rsidRPr="00087872">
        <w:rPr>
          <w:rFonts w:ascii="Century Gothic" w:hAnsi="Century Gothic"/>
        </w:rPr>
        <w:t>Activities</w:t>
      </w:r>
    </w:p>
    <w:p w:rsidR="00087872" w:rsidRDefault="00087872" w:rsidP="00087872">
      <w:pPr>
        <w:numPr>
          <w:ilvl w:val="0"/>
          <w:numId w:val="11"/>
        </w:numPr>
        <w:spacing w:after="0" w:line="240" w:lineRule="auto"/>
        <w:rPr>
          <w:rFonts w:ascii="Century Gothic" w:hAnsi="Century Gothic"/>
        </w:rPr>
      </w:pPr>
      <w:r w:rsidRPr="00087872">
        <w:rPr>
          <w:rFonts w:ascii="Century Gothic" w:hAnsi="Century Gothic"/>
        </w:rPr>
        <w:t xml:space="preserve">This activity </w:t>
      </w:r>
      <w:r w:rsidR="008978E2">
        <w:rPr>
          <w:rFonts w:ascii="Century Gothic" w:hAnsi="Century Gothic"/>
        </w:rPr>
        <w:t xml:space="preserve">is billed for the provision of bus tokens, one way bus tickets, bus day passes, and single trip taxi vouchers. </w:t>
      </w:r>
    </w:p>
    <w:p w:rsidR="008978E2" w:rsidRPr="00087872" w:rsidRDefault="008978E2" w:rsidP="008978E2">
      <w:pPr>
        <w:spacing w:after="0" w:line="240" w:lineRule="auto"/>
        <w:ind w:left="720"/>
        <w:rPr>
          <w:rFonts w:ascii="Century Gothic" w:hAnsi="Century Gothic"/>
        </w:rPr>
      </w:pPr>
    </w:p>
    <w:p w:rsidR="00087872" w:rsidRDefault="00087872" w:rsidP="00087872">
      <w:pPr>
        <w:pStyle w:val="Heading3"/>
        <w:rPr>
          <w:rFonts w:ascii="Century Gothic" w:hAnsi="Century Gothic"/>
        </w:rPr>
      </w:pPr>
      <w:r w:rsidRPr="00087872">
        <w:rPr>
          <w:rFonts w:ascii="Century Gothic" w:hAnsi="Century Gothic"/>
        </w:rPr>
        <w:t>Staff</w:t>
      </w:r>
    </w:p>
    <w:p w:rsidR="008978E2" w:rsidRDefault="008978E2" w:rsidP="008978E2">
      <w:pPr>
        <w:numPr>
          <w:ilvl w:val="0"/>
          <w:numId w:val="11"/>
        </w:numPr>
        <w:spacing w:after="0" w:line="240" w:lineRule="auto"/>
        <w:rPr>
          <w:rFonts w:ascii="Century Gothic" w:hAnsi="Century Gothic"/>
        </w:rPr>
      </w:pPr>
      <w:r w:rsidRPr="008978E2">
        <w:rPr>
          <w:rFonts w:ascii="Century Gothic" w:hAnsi="Century Gothic"/>
        </w:rPr>
        <w:t xml:space="preserve">Any staff may administer this service. </w:t>
      </w:r>
    </w:p>
    <w:p w:rsidR="00D33D52" w:rsidRDefault="00D33D52" w:rsidP="00D33D52">
      <w:pPr>
        <w:spacing w:after="0" w:line="240" w:lineRule="auto"/>
        <w:rPr>
          <w:rFonts w:ascii="Century Gothic" w:hAnsi="Century Gothic"/>
        </w:rPr>
      </w:pPr>
    </w:p>
    <w:p w:rsidR="00D33D52" w:rsidRDefault="00D33D52" w:rsidP="00D33D52">
      <w:pPr>
        <w:pStyle w:val="Heading2"/>
        <w:rPr>
          <w:rFonts w:ascii="Century Gothic" w:hAnsi="Century Gothic"/>
        </w:rPr>
      </w:pPr>
      <w:r>
        <w:rPr>
          <w:rFonts w:ascii="Century Gothic" w:hAnsi="Century Gothic"/>
        </w:rPr>
        <w:t>Medical Transportation Dollar</w:t>
      </w:r>
    </w:p>
    <w:p w:rsidR="00D33D52" w:rsidRPr="00D33D52" w:rsidRDefault="00D33D52" w:rsidP="00D33D52">
      <w:pPr>
        <w:pStyle w:val="Heading3"/>
        <w:rPr>
          <w:rFonts w:ascii="Century Gothic" w:hAnsi="Century Gothic"/>
        </w:rPr>
      </w:pPr>
      <w:r w:rsidRPr="00D33D52">
        <w:rPr>
          <w:rFonts w:ascii="Century Gothic" w:hAnsi="Century Gothic"/>
        </w:rPr>
        <w:t>Activities</w:t>
      </w:r>
    </w:p>
    <w:p w:rsidR="00D33D52" w:rsidRPr="008864A9" w:rsidRDefault="008864A9" w:rsidP="008864A9">
      <w:pPr>
        <w:numPr>
          <w:ilvl w:val="0"/>
          <w:numId w:val="11"/>
        </w:numPr>
        <w:spacing w:after="0" w:line="240" w:lineRule="auto"/>
        <w:rPr>
          <w:rFonts w:ascii="Century Gothic" w:hAnsi="Century Gothic"/>
        </w:rPr>
      </w:pPr>
      <w:r w:rsidRPr="008864A9">
        <w:rPr>
          <w:rFonts w:ascii="Century Gothic" w:hAnsi="Century Gothic"/>
        </w:rPr>
        <w:t xml:space="preserve">This activity is payment for transportation services. </w:t>
      </w:r>
    </w:p>
    <w:p w:rsidR="008864A9" w:rsidRDefault="008864A9" w:rsidP="008864A9">
      <w:pPr>
        <w:pStyle w:val="NoSpacing"/>
      </w:pPr>
    </w:p>
    <w:p w:rsidR="00D33D52" w:rsidRDefault="00D33D52" w:rsidP="00D33D52">
      <w:pPr>
        <w:pStyle w:val="Heading3"/>
        <w:rPr>
          <w:rFonts w:ascii="Century Gothic" w:hAnsi="Century Gothic"/>
        </w:rPr>
      </w:pPr>
      <w:r w:rsidRPr="00087872">
        <w:rPr>
          <w:rFonts w:ascii="Century Gothic" w:hAnsi="Century Gothic"/>
        </w:rPr>
        <w:t>Staff</w:t>
      </w:r>
    </w:p>
    <w:p w:rsidR="00D33D52" w:rsidRPr="00D33D52" w:rsidRDefault="00D33D52" w:rsidP="008864A9">
      <w:pPr>
        <w:pStyle w:val="ListParagraph"/>
        <w:numPr>
          <w:ilvl w:val="0"/>
          <w:numId w:val="11"/>
        </w:numPr>
      </w:pPr>
      <w:r w:rsidRPr="008864A9">
        <w:rPr>
          <w:rFonts w:ascii="Century Gothic" w:hAnsi="Century Gothic"/>
        </w:rPr>
        <w:t>Any staff may administer this service.</w:t>
      </w:r>
    </w:p>
    <w:sectPr w:rsidR="00D33D52" w:rsidRPr="00D33D5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7B6" w:rsidRDefault="001767B6" w:rsidP="001767B6">
      <w:pPr>
        <w:spacing w:after="0" w:line="240" w:lineRule="auto"/>
      </w:pPr>
      <w:r>
        <w:separator/>
      </w:r>
    </w:p>
  </w:endnote>
  <w:endnote w:type="continuationSeparator" w:id="0">
    <w:p w:rsidR="001767B6" w:rsidRDefault="001767B6" w:rsidP="0017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7B6" w:rsidRPr="001767B6" w:rsidRDefault="001767B6">
    <w:pPr>
      <w:pStyle w:val="Footer"/>
      <w:rPr>
        <w:rFonts w:ascii="Century Gothic" w:hAnsi="Century Gothic"/>
        <w:sz w:val="18"/>
        <w:szCs w:val="18"/>
      </w:rPr>
    </w:pPr>
    <w:r w:rsidRPr="001767B6">
      <w:rPr>
        <w:rFonts w:ascii="Century Gothic" w:hAnsi="Century Gothic"/>
        <w:sz w:val="18"/>
        <w:szCs w:val="18"/>
      </w:rPr>
      <w:t>Current as of 9.2018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7B6" w:rsidRDefault="001767B6" w:rsidP="001767B6">
      <w:pPr>
        <w:spacing w:after="0" w:line="240" w:lineRule="auto"/>
      </w:pPr>
      <w:r>
        <w:separator/>
      </w:r>
    </w:p>
  </w:footnote>
  <w:footnote w:type="continuationSeparator" w:id="0">
    <w:p w:rsidR="001767B6" w:rsidRDefault="001767B6" w:rsidP="00176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11B9"/>
    <w:multiLevelType w:val="hybridMultilevel"/>
    <w:tmpl w:val="44CE26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2CDF"/>
    <w:multiLevelType w:val="hybridMultilevel"/>
    <w:tmpl w:val="6456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A5CB7"/>
    <w:multiLevelType w:val="hybridMultilevel"/>
    <w:tmpl w:val="46C681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D32591"/>
    <w:multiLevelType w:val="hybridMultilevel"/>
    <w:tmpl w:val="8BFA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B3E42"/>
    <w:multiLevelType w:val="hybridMultilevel"/>
    <w:tmpl w:val="6974F80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3E126CA"/>
    <w:multiLevelType w:val="hybridMultilevel"/>
    <w:tmpl w:val="76DC44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A2DC4"/>
    <w:multiLevelType w:val="hybridMultilevel"/>
    <w:tmpl w:val="CF6624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</w:rPr>
    </w:lvl>
    <w:lvl w:ilvl="1" w:tplc="B5144DDE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626017A"/>
    <w:multiLevelType w:val="hybridMultilevel"/>
    <w:tmpl w:val="ADB8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97668"/>
    <w:multiLevelType w:val="hybridMultilevel"/>
    <w:tmpl w:val="CEA8AF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E55165"/>
    <w:multiLevelType w:val="hybridMultilevel"/>
    <w:tmpl w:val="6554D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3292A"/>
    <w:multiLevelType w:val="hybridMultilevel"/>
    <w:tmpl w:val="C0F8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B027C"/>
    <w:multiLevelType w:val="hybridMultilevel"/>
    <w:tmpl w:val="F2D43962"/>
    <w:lvl w:ilvl="0" w:tplc="500A298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B5144DDE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7D4575A"/>
    <w:multiLevelType w:val="hybridMultilevel"/>
    <w:tmpl w:val="4D3C8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24EDF"/>
    <w:multiLevelType w:val="hybridMultilevel"/>
    <w:tmpl w:val="08C25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826009"/>
    <w:multiLevelType w:val="hybridMultilevel"/>
    <w:tmpl w:val="F7587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5"/>
  </w:num>
  <w:num w:numId="5">
    <w:abstractNumId w:val="4"/>
  </w:num>
  <w:num w:numId="6">
    <w:abstractNumId w:val="12"/>
  </w:num>
  <w:num w:numId="7">
    <w:abstractNumId w:val="14"/>
  </w:num>
  <w:num w:numId="8">
    <w:abstractNumId w:val="6"/>
  </w:num>
  <w:num w:numId="9">
    <w:abstractNumId w:val="2"/>
  </w:num>
  <w:num w:numId="10">
    <w:abstractNumId w:val="8"/>
  </w:num>
  <w:num w:numId="11">
    <w:abstractNumId w:val="3"/>
  </w:num>
  <w:num w:numId="12">
    <w:abstractNumId w:val="10"/>
  </w:num>
  <w:num w:numId="13">
    <w:abstractNumId w:val="7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46"/>
    <w:rsid w:val="00057B25"/>
    <w:rsid w:val="00087872"/>
    <w:rsid w:val="00132146"/>
    <w:rsid w:val="001767B6"/>
    <w:rsid w:val="004D3239"/>
    <w:rsid w:val="0050058A"/>
    <w:rsid w:val="00524C64"/>
    <w:rsid w:val="005A412A"/>
    <w:rsid w:val="00625BFE"/>
    <w:rsid w:val="008864A9"/>
    <w:rsid w:val="008978E2"/>
    <w:rsid w:val="008E0E44"/>
    <w:rsid w:val="00A45095"/>
    <w:rsid w:val="00BB00A9"/>
    <w:rsid w:val="00BB59AE"/>
    <w:rsid w:val="00C71599"/>
    <w:rsid w:val="00CA15C0"/>
    <w:rsid w:val="00CA632F"/>
    <w:rsid w:val="00D33D52"/>
    <w:rsid w:val="00D52D82"/>
    <w:rsid w:val="00DC3485"/>
    <w:rsid w:val="00DE11C5"/>
    <w:rsid w:val="00EF4B6C"/>
    <w:rsid w:val="00F6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03909-5909-44E9-84D8-BA9B6A17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1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Services Heading 2"/>
    <w:basedOn w:val="Normal"/>
    <w:next w:val="Normal"/>
    <w:link w:val="Heading2Char"/>
    <w:unhideWhenUsed/>
    <w:qFormat/>
    <w:rsid w:val="001321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21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1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Services Heading 2 Char"/>
    <w:basedOn w:val="DefaultParagraphFont"/>
    <w:link w:val="Heading2"/>
    <w:rsid w:val="001321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21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qFormat/>
    <w:rsid w:val="00132146"/>
    <w:pPr>
      <w:ind w:left="720"/>
      <w:contextualSpacing/>
    </w:pPr>
  </w:style>
  <w:style w:type="paragraph" w:styleId="NoSpacing">
    <w:name w:val="No Spacing"/>
    <w:uiPriority w:val="1"/>
    <w:qFormat/>
    <w:rsid w:val="008864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6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7B6"/>
  </w:style>
  <w:style w:type="paragraph" w:styleId="Footer">
    <w:name w:val="footer"/>
    <w:basedOn w:val="Normal"/>
    <w:link w:val="FooterChar"/>
    <w:uiPriority w:val="99"/>
    <w:unhideWhenUsed/>
    <w:rsid w:val="00176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White</dc:creator>
  <cp:keywords/>
  <dc:description/>
  <cp:lastModifiedBy>Ariel White</cp:lastModifiedBy>
  <cp:revision>11</cp:revision>
  <dcterms:created xsi:type="dcterms:W3CDTF">2018-08-02T20:46:00Z</dcterms:created>
  <dcterms:modified xsi:type="dcterms:W3CDTF">2018-09-13T16:14:00Z</dcterms:modified>
</cp:coreProperties>
</file>